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FCE7" w14:textId="0A3006FF" w:rsidR="00B24AA6" w:rsidRDefault="00B24AA6" w:rsidP="003A078B">
      <w:pPr>
        <w:jc w:val="center"/>
        <w:rPr>
          <w:rFonts w:ascii="Calibri" w:hAnsi="Calibri" w:cs="Calibri"/>
          <w:color w:val="000000"/>
          <w:sz w:val="24"/>
          <w:szCs w:val="24"/>
        </w:rPr>
      </w:pPr>
      <w:r>
        <w:rPr>
          <w:noProof/>
        </w:rPr>
        <w:drawing>
          <wp:inline distT="0" distB="0" distL="0" distR="0" wp14:anchorId="6F892C91" wp14:editId="21E8CDB4">
            <wp:extent cx="1970527" cy="1095610"/>
            <wp:effectExtent l="0" t="0" r="0" b="9525"/>
            <wp:docPr id="5" name="Picture 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en and black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1970527" cy="1095610"/>
                    </a:xfrm>
                    <a:prstGeom prst="rect">
                      <a:avLst/>
                    </a:prstGeom>
                  </pic:spPr>
                </pic:pic>
              </a:graphicData>
            </a:graphic>
          </wp:inline>
        </w:drawing>
      </w:r>
    </w:p>
    <w:p w14:paraId="3024FA34" w14:textId="77777777" w:rsidR="00926962" w:rsidRDefault="00926962" w:rsidP="003A078B">
      <w:pPr>
        <w:pStyle w:val="NormalWeb"/>
        <w:spacing w:before="0" w:beforeAutospacing="0" w:after="0" w:afterAutospacing="0"/>
        <w:rPr>
          <w:rFonts w:ascii="Calibri" w:eastAsia="+mn-ea" w:hAnsi="Calibri" w:cs="Calibri"/>
          <w:b/>
          <w:bCs/>
          <w:color w:val="000000"/>
          <w:kern w:val="24"/>
          <w:sz w:val="26"/>
          <w:szCs w:val="26"/>
        </w:rPr>
      </w:pPr>
    </w:p>
    <w:p w14:paraId="303F3014" w14:textId="35E5135F" w:rsidR="003A078B" w:rsidRPr="00926962" w:rsidRDefault="003A078B" w:rsidP="003A078B">
      <w:pPr>
        <w:pStyle w:val="NormalWeb"/>
        <w:spacing w:before="0" w:beforeAutospacing="0" w:after="0" w:afterAutospacing="0"/>
        <w:rPr>
          <w:rFonts w:ascii="Calibri" w:hAnsi="Calibri" w:cs="Calibri"/>
        </w:rPr>
      </w:pPr>
      <w:r w:rsidRPr="00926962">
        <w:rPr>
          <w:rFonts w:ascii="Calibri" w:eastAsia="+mn-ea" w:hAnsi="Calibri" w:cs="Calibri"/>
          <w:b/>
          <w:bCs/>
          <w:color w:val="000000"/>
          <w:kern w:val="24"/>
        </w:rPr>
        <w:t xml:space="preserve">Vision: </w:t>
      </w:r>
      <w:r w:rsidRPr="00926962">
        <w:rPr>
          <w:rFonts w:ascii="Calibri" w:eastAsia="+mn-ea" w:hAnsi="Calibri" w:cs="Calibri"/>
          <w:color w:val="000000"/>
          <w:kern w:val="24"/>
        </w:rPr>
        <w:t>To be the entrepreneurial force that fuels sustainable excellence, nurtures a culture of company-wide collaboration and builds positive environmental impact</w:t>
      </w:r>
    </w:p>
    <w:p w14:paraId="71468CFC" w14:textId="77777777" w:rsidR="003A078B" w:rsidRPr="00926962" w:rsidRDefault="003A078B" w:rsidP="003A078B">
      <w:pPr>
        <w:spacing w:after="0"/>
        <w:rPr>
          <w:rFonts w:ascii="Calibri" w:eastAsia="+mn-ea" w:hAnsi="Calibri" w:cs="Calibri"/>
          <w:b/>
          <w:bCs/>
          <w:color w:val="000000"/>
          <w:kern w:val="24"/>
          <w:sz w:val="24"/>
          <w:szCs w:val="24"/>
          <w14:ligatures w14:val="none"/>
        </w:rPr>
      </w:pPr>
    </w:p>
    <w:p w14:paraId="388BB76B" w14:textId="76F006EC" w:rsidR="003A078B" w:rsidRPr="003A078B" w:rsidRDefault="003A078B" w:rsidP="003A078B">
      <w:pPr>
        <w:spacing w:after="0"/>
        <w:rPr>
          <w:rFonts w:ascii="Calibri" w:eastAsia="Times New Roman" w:hAnsi="Calibri" w:cs="Calibri"/>
          <w:kern w:val="0"/>
          <w:sz w:val="24"/>
          <w:szCs w:val="24"/>
          <w14:ligatures w14:val="none"/>
        </w:rPr>
      </w:pPr>
      <w:r w:rsidRPr="003A078B">
        <w:rPr>
          <w:rFonts w:ascii="Calibri" w:eastAsia="+mn-ea" w:hAnsi="Calibri" w:cs="Calibri"/>
          <w:b/>
          <w:bCs/>
          <w:color w:val="000000"/>
          <w:kern w:val="24"/>
          <w:sz w:val="24"/>
          <w:szCs w:val="24"/>
          <w14:ligatures w14:val="none"/>
        </w:rPr>
        <w:t>Headquarters</w:t>
      </w:r>
      <w:r w:rsidRPr="003A078B">
        <w:rPr>
          <w:rFonts w:ascii="Calibri" w:eastAsia="+mn-ea" w:hAnsi="Calibri" w:cs="Calibri"/>
          <w:color w:val="000000"/>
          <w:kern w:val="24"/>
          <w:sz w:val="24"/>
          <w:szCs w:val="24"/>
          <w14:ligatures w14:val="none"/>
        </w:rPr>
        <w:t>: Brampton, ON</w:t>
      </w:r>
    </w:p>
    <w:p w14:paraId="630846A1" w14:textId="77777777" w:rsidR="003A078B" w:rsidRPr="003A078B" w:rsidRDefault="003A078B" w:rsidP="003A078B">
      <w:pPr>
        <w:spacing w:after="0"/>
        <w:rPr>
          <w:rFonts w:ascii="Calibri" w:eastAsia="Times New Roman" w:hAnsi="Calibri" w:cs="Calibri"/>
          <w:kern w:val="0"/>
          <w:sz w:val="24"/>
          <w:szCs w:val="24"/>
          <w14:ligatures w14:val="none"/>
        </w:rPr>
      </w:pPr>
      <w:r w:rsidRPr="003A078B">
        <w:rPr>
          <w:rFonts w:ascii="Calibri" w:eastAsia="+mn-ea" w:hAnsi="Calibri" w:cs="Calibri"/>
          <w:b/>
          <w:bCs/>
          <w:color w:val="000000"/>
          <w:kern w:val="24"/>
          <w:sz w:val="24"/>
          <w:szCs w:val="24"/>
          <w14:ligatures w14:val="none"/>
        </w:rPr>
        <w:t>Industry</w:t>
      </w:r>
      <w:r w:rsidRPr="003A078B">
        <w:rPr>
          <w:rFonts w:ascii="Calibri" w:eastAsia="+mn-ea" w:hAnsi="Calibri" w:cs="Calibri"/>
          <w:color w:val="000000"/>
          <w:kern w:val="24"/>
          <w:sz w:val="24"/>
          <w:szCs w:val="24"/>
          <w14:ligatures w14:val="none"/>
        </w:rPr>
        <w:t>: Metal, Manufacturing, Recycling, and Real Estate Development</w:t>
      </w:r>
    </w:p>
    <w:p w14:paraId="4F8A889F" w14:textId="77777777" w:rsidR="003A078B" w:rsidRPr="003A078B" w:rsidRDefault="003A078B" w:rsidP="003A078B">
      <w:pPr>
        <w:spacing w:after="0"/>
        <w:rPr>
          <w:rFonts w:ascii="Calibri" w:eastAsia="Times New Roman" w:hAnsi="Calibri" w:cs="Calibri"/>
          <w:kern w:val="0"/>
          <w:sz w:val="24"/>
          <w:szCs w:val="24"/>
          <w14:ligatures w14:val="none"/>
        </w:rPr>
      </w:pPr>
      <w:r w:rsidRPr="003A078B">
        <w:rPr>
          <w:rFonts w:ascii="Calibri" w:eastAsia="+mn-ea" w:hAnsi="Calibri" w:cs="Calibri"/>
          <w:b/>
          <w:bCs/>
          <w:color w:val="000000"/>
          <w:kern w:val="24"/>
          <w:sz w:val="24"/>
          <w:szCs w:val="24"/>
          <w14:ligatures w14:val="none"/>
        </w:rPr>
        <w:t>Founded</w:t>
      </w:r>
      <w:r w:rsidRPr="003A078B">
        <w:rPr>
          <w:rFonts w:ascii="Calibri" w:eastAsia="+mn-ea" w:hAnsi="Calibri" w:cs="Calibri"/>
          <w:color w:val="000000"/>
          <w:kern w:val="24"/>
          <w:sz w:val="24"/>
          <w:szCs w:val="24"/>
          <w14:ligatures w14:val="none"/>
        </w:rPr>
        <w:t>: 1967</w:t>
      </w:r>
    </w:p>
    <w:p w14:paraId="10A81874" w14:textId="77777777" w:rsidR="003A078B" w:rsidRPr="003A078B" w:rsidRDefault="003A078B" w:rsidP="003A078B">
      <w:pPr>
        <w:spacing w:after="0"/>
        <w:rPr>
          <w:rFonts w:ascii="Calibri" w:eastAsia="Times New Roman" w:hAnsi="Calibri" w:cs="Calibri"/>
          <w:kern w:val="0"/>
          <w:sz w:val="24"/>
          <w:szCs w:val="24"/>
          <w14:ligatures w14:val="none"/>
        </w:rPr>
      </w:pPr>
      <w:r w:rsidRPr="003A078B">
        <w:rPr>
          <w:rFonts w:ascii="Calibri" w:eastAsia="+mn-ea" w:hAnsi="Calibri" w:cs="Calibri"/>
          <w:b/>
          <w:bCs/>
          <w:color w:val="000000"/>
          <w:kern w:val="24"/>
          <w:sz w:val="24"/>
          <w:szCs w:val="24"/>
          <w14:ligatures w14:val="none"/>
        </w:rPr>
        <w:t>Number of Operating Locations</w:t>
      </w:r>
      <w:r w:rsidRPr="003A078B">
        <w:rPr>
          <w:rFonts w:ascii="Calibri" w:eastAsia="+mn-ea" w:hAnsi="Calibri" w:cs="Calibri"/>
          <w:color w:val="000000"/>
          <w:kern w:val="24"/>
          <w:sz w:val="24"/>
          <w:szCs w:val="24"/>
          <w14:ligatures w14:val="none"/>
        </w:rPr>
        <w:t>: 75</w:t>
      </w:r>
    </w:p>
    <w:p w14:paraId="1BBEC1B5" w14:textId="77777777" w:rsidR="003A078B" w:rsidRPr="003A078B" w:rsidRDefault="003A078B" w:rsidP="003A078B">
      <w:pPr>
        <w:spacing w:after="0"/>
        <w:rPr>
          <w:rFonts w:ascii="Calibri" w:eastAsia="Times New Roman" w:hAnsi="Calibri" w:cs="Calibri"/>
          <w:kern w:val="0"/>
          <w:sz w:val="24"/>
          <w:szCs w:val="24"/>
          <w14:ligatures w14:val="none"/>
        </w:rPr>
      </w:pPr>
      <w:r w:rsidRPr="003A078B">
        <w:rPr>
          <w:rFonts w:ascii="Calibri" w:eastAsia="+mn-ea" w:hAnsi="Calibri" w:cs="Calibri"/>
          <w:b/>
          <w:bCs/>
          <w:color w:val="000000"/>
          <w:kern w:val="24"/>
          <w:sz w:val="24"/>
          <w:szCs w:val="24"/>
          <w14:ligatures w14:val="none"/>
        </w:rPr>
        <w:t>Headcount</w:t>
      </w:r>
      <w:r w:rsidRPr="003A078B">
        <w:rPr>
          <w:rFonts w:ascii="Calibri" w:eastAsia="+mn-ea" w:hAnsi="Calibri" w:cs="Calibri"/>
          <w:color w:val="000000"/>
          <w:kern w:val="24"/>
          <w:sz w:val="24"/>
          <w:szCs w:val="24"/>
          <w14:ligatures w14:val="none"/>
        </w:rPr>
        <w:t>: 2,500 +</w:t>
      </w:r>
    </w:p>
    <w:p w14:paraId="0019ECA3" w14:textId="2C22D65A" w:rsidR="003A078B" w:rsidRPr="003A078B" w:rsidRDefault="003A078B" w:rsidP="003A078B">
      <w:pPr>
        <w:spacing w:after="0"/>
        <w:rPr>
          <w:rFonts w:ascii="Calibri" w:eastAsia="Times New Roman" w:hAnsi="Calibri" w:cs="Calibri"/>
          <w:kern w:val="0"/>
          <w:sz w:val="24"/>
          <w:szCs w:val="24"/>
          <w14:ligatures w14:val="none"/>
        </w:rPr>
      </w:pPr>
      <w:r w:rsidRPr="00F36591">
        <w:rPr>
          <w:rFonts w:ascii="Calibri" w:eastAsia="+mn-ea" w:hAnsi="Calibri" w:cs="Calibri"/>
          <w:b/>
          <w:bCs/>
          <w:color w:val="000000"/>
          <w:kern w:val="24"/>
          <w:sz w:val="24"/>
          <w:szCs w:val="24"/>
          <w:highlight w:val="yellow"/>
          <w14:ligatures w14:val="none"/>
        </w:rPr>
        <w:t xml:space="preserve">Areas of </w:t>
      </w:r>
      <w:r w:rsidR="00F36591" w:rsidRPr="00F36591">
        <w:rPr>
          <w:rFonts w:ascii="Calibri" w:eastAsia="+mn-ea" w:hAnsi="Calibri" w:cs="Calibri"/>
          <w:b/>
          <w:bCs/>
          <w:color w:val="000000"/>
          <w:kern w:val="24"/>
          <w:sz w:val="24"/>
          <w:szCs w:val="24"/>
          <w:highlight w:val="yellow"/>
          <w14:ligatures w14:val="none"/>
        </w:rPr>
        <w:t xml:space="preserve"> Business Coverage</w:t>
      </w:r>
      <w:r w:rsidRPr="00F36591">
        <w:rPr>
          <w:rFonts w:ascii="Calibri" w:eastAsia="+mn-ea" w:hAnsi="Calibri" w:cs="Calibri"/>
          <w:b/>
          <w:bCs/>
          <w:color w:val="000000"/>
          <w:kern w:val="24"/>
          <w:sz w:val="24"/>
          <w:szCs w:val="24"/>
          <w:highlight w:val="yellow"/>
          <w14:ligatures w14:val="none"/>
        </w:rPr>
        <w:t>:</w:t>
      </w:r>
      <w:r w:rsidRPr="003A078B">
        <w:rPr>
          <w:rFonts w:ascii="Calibri" w:eastAsia="+mn-ea" w:hAnsi="Calibri" w:cs="Calibri"/>
          <w:b/>
          <w:bCs/>
          <w:color w:val="000000"/>
          <w:kern w:val="24"/>
          <w:sz w:val="24"/>
          <w:szCs w:val="24"/>
          <w14:ligatures w14:val="none"/>
        </w:rPr>
        <w:t xml:space="preserve"> </w:t>
      </w:r>
    </w:p>
    <w:p w14:paraId="7D97DF4F" w14:textId="77777777" w:rsidR="003A078B" w:rsidRPr="003A078B" w:rsidRDefault="003A078B" w:rsidP="003A078B">
      <w:pPr>
        <w:numPr>
          <w:ilvl w:val="0"/>
          <w:numId w:val="2"/>
        </w:numPr>
        <w:spacing w:after="0"/>
        <w:ind w:left="994"/>
        <w:contextualSpacing/>
        <w:rPr>
          <w:rFonts w:ascii="Calibri" w:eastAsia="Times New Roman" w:hAnsi="Calibri" w:cs="Calibri"/>
          <w:kern w:val="0"/>
          <w:sz w:val="24"/>
          <w:szCs w:val="24"/>
          <w14:ligatures w14:val="none"/>
        </w:rPr>
      </w:pPr>
      <w:r w:rsidRPr="003A078B">
        <w:rPr>
          <w:rFonts w:ascii="Calibri" w:eastAsia="+mn-ea" w:hAnsi="Calibri" w:cs="Calibri"/>
          <w:color w:val="000000"/>
          <w:kern w:val="24"/>
          <w:sz w:val="24"/>
          <w:szCs w:val="24"/>
          <w14:ligatures w14:val="none"/>
        </w:rPr>
        <w:t xml:space="preserve">Scrap Metal Recycling </w:t>
      </w:r>
    </w:p>
    <w:p w14:paraId="465EDF73" w14:textId="77777777" w:rsidR="003A078B" w:rsidRPr="003A078B" w:rsidRDefault="003A078B" w:rsidP="003A078B">
      <w:pPr>
        <w:numPr>
          <w:ilvl w:val="0"/>
          <w:numId w:val="2"/>
        </w:numPr>
        <w:spacing w:after="0"/>
        <w:ind w:left="994"/>
        <w:contextualSpacing/>
        <w:rPr>
          <w:rFonts w:ascii="Calibri" w:eastAsia="Times New Roman" w:hAnsi="Calibri" w:cs="Calibri"/>
          <w:kern w:val="0"/>
          <w:sz w:val="24"/>
          <w:szCs w:val="24"/>
          <w14:ligatures w14:val="none"/>
        </w:rPr>
      </w:pPr>
      <w:r w:rsidRPr="003A078B">
        <w:rPr>
          <w:rFonts w:ascii="Calibri" w:eastAsia="+mn-ea" w:hAnsi="Calibri" w:cs="Calibri"/>
          <w:color w:val="000000"/>
          <w:kern w:val="24"/>
          <w:sz w:val="24"/>
          <w:szCs w:val="24"/>
          <w14:ligatures w14:val="none"/>
        </w:rPr>
        <w:t>Steel Mill Services</w:t>
      </w:r>
    </w:p>
    <w:p w14:paraId="40AF08BB" w14:textId="77777777" w:rsidR="003A078B" w:rsidRPr="003A078B" w:rsidRDefault="003A078B" w:rsidP="003A078B">
      <w:pPr>
        <w:numPr>
          <w:ilvl w:val="0"/>
          <w:numId w:val="2"/>
        </w:numPr>
        <w:spacing w:after="0"/>
        <w:ind w:left="994"/>
        <w:contextualSpacing/>
        <w:rPr>
          <w:rFonts w:ascii="Calibri" w:eastAsia="Times New Roman" w:hAnsi="Calibri" w:cs="Calibri"/>
          <w:kern w:val="0"/>
          <w:sz w:val="24"/>
          <w:szCs w:val="24"/>
          <w14:ligatures w14:val="none"/>
        </w:rPr>
      </w:pPr>
      <w:r w:rsidRPr="003A078B">
        <w:rPr>
          <w:rFonts w:ascii="Calibri" w:eastAsia="+mn-ea" w:hAnsi="Calibri" w:cs="Calibri"/>
          <w:color w:val="000000"/>
          <w:kern w:val="24"/>
          <w:sz w:val="24"/>
          <w:szCs w:val="24"/>
          <w14:ligatures w14:val="none"/>
        </w:rPr>
        <w:t>Electronics Recycling and Reuse</w:t>
      </w:r>
    </w:p>
    <w:p w14:paraId="15EED27E" w14:textId="77777777" w:rsidR="003A078B" w:rsidRPr="003A078B" w:rsidRDefault="003A078B" w:rsidP="003A078B">
      <w:pPr>
        <w:numPr>
          <w:ilvl w:val="0"/>
          <w:numId w:val="2"/>
        </w:numPr>
        <w:spacing w:after="0"/>
        <w:ind w:left="994"/>
        <w:contextualSpacing/>
        <w:rPr>
          <w:rFonts w:ascii="Calibri" w:eastAsia="Times New Roman" w:hAnsi="Calibri" w:cs="Calibri"/>
          <w:kern w:val="0"/>
          <w:sz w:val="24"/>
          <w:szCs w:val="24"/>
          <w14:ligatures w14:val="none"/>
        </w:rPr>
      </w:pPr>
      <w:r w:rsidRPr="003A078B">
        <w:rPr>
          <w:rFonts w:ascii="Calibri" w:eastAsia="+mn-ea" w:hAnsi="Calibri" w:cs="Calibri"/>
          <w:color w:val="000000"/>
          <w:kern w:val="24"/>
          <w:sz w:val="24"/>
          <w:szCs w:val="24"/>
          <w14:ligatures w14:val="none"/>
        </w:rPr>
        <w:t xml:space="preserve">Aluminum Re-melting </w:t>
      </w:r>
    </w:p>
    <w:p w14:paraId="5108BB05" w14:textId="77777777" w:rsidR="003A078B" w:rsidRPr="00926962" w:rsidRDefault="003A078B" w:rsidP="003A078B">
      <w:pPr>
        <w:numPr>
          <w:ilvl w:val="0"/>
          <w:numId w:val="2"/>
        </w:numPr>
        <w:spacing w:after="0"/>
        <w:ind w:left="994"/>
        <w:contextualSpacing/>
        <w:rPr>
          <w:rFonts w:ascii="Calibri" w:eastAsia="Times New Roman" w:hAnsi="Calibri" w:cs="Calibri"/>
          <w:kern w:val="0"/>
          <w:sz w:val="24"/>
          <w:szCs w:val="24"/>
          <w14:ligatures w14:val="none"/>
        </w:rPr>
      </w:pPr>
      <w:r w:rsidRPr="003A078B">
        <w:rPr>
          <w:rFonts w:ascii="Calibri" w:eastAsia="+mn-ea" w:hAnsi="Calibri" w:cs="Calibri"/>
          <w:color w:val="000000"/>
          <w:kern w:val="24"/>
          <w:sz w:val="24"/>
          <w:szCs w:val="24"/>
          <w14:ligatures w14:val="none"/>
        </w:rPr>
        <w:t xml:space="preserve">Steel Coil Processing and Distribution </w:t>
      </w:r>
    </w:p>
    <w:p w14:paraId="78178A17" w14:textId="6239734A" w:rsidR="00B24AA6" w:rsidRPr="00D85D9C" w:rsidRDefault="003A078B" w:rsidP="003A078B">
      <w:pPr>
        <w:numPr>
          <w:ilvl w:val="0"/>
          <w:numId w:val="2"/>
        </w:numPr>
        <w:spacing w:after="0"/>
        <w:ind w:left="994"/>
        <w:contextualSpacing/>
        <w:rPr>
          <w:rFonts w:ascii="Calibri" w:eastAsia="Times New Roman" w:hAnsi="Calibri" w:cs="Calibri"/>
          <w:kern w:val="0"/>
          <w:sz w:val="24"/>
          <w:szCs w:val="24"/>
          <w14:ligatures w14:val="none"/>
        </w:rPr>
      </w:pPr>
      <w:r w:rsidRPr="00926962">
        <w:rPr>
          <w:rFonts w:ascii="Calibri" w:eastAsia="+mn-ea" w:hAnsi="Calibri" w:cs="Calibri"/>
          <w:color w:val="000000"/>
          <w:kern w:val="24"/>
          <w:sz w:val="24"/>
          <w:szCs w:val="24"/>
          <w14:ligatures w14:val="none"/>
        </w:rPr>
        <w:t>Real Estate Development</w:t>
      </w:r>
    </w:p>
    <w:p w14:paraId="2B0872AB" w14:textId="77777777" w:rsidR="00D85D9C" w:rsidRDefault="00D85D9C" w:rsidP="00D85D9C">
      <w:pPr>
        <w:spacing w:after="0"/>
        <w:contextualSpacing/>
        <w:rPr>
          <w:rFonts w:ascii="Calibri" w:eastAsia="+mn-ea" w:hAnsi="Calibri" w:cs="Calibri"/>
          <w:color w:val="000000"/>
          <w:kern w:val="24"/>
          <w:sz w:val="24"/>
          <w:szCs w:val="24"/>
          <w14:ligatures w14:val="none"/>
        </w:rPr>
      </w:pPr>
    </w:p>
    <w:p w14:paraId="4123EF18" w14:textId="4DB726ED" w:rsidR="00D85D9C" w:rsidRPr="00D85D9C" w:rsidRDefault="00D85D9C" w:rsidP="00D85D9C">
      <w:pPr>
        <w:spacing w:after="0"/>
        <w:contextualSpacing/>
        <w:rPr>
          <w:rFonts w:ascii="Calibri" w:eastAsia="+mn-ea" w:hAnsi="Calibri" w:cs="Calibri"/>
          <w:b/>
          <w:bCs/>
          <w:color w:val="000000"/>
          <w:kern w:val="24"/>
          <w:sz w:val="24"/>
          <w:szCs w:val="24"/>
          <w14:ligatures w14:val="none"/>
        </w:rPr>
      </w:pPr>
      <w:r w:rsidRPr="00D85D9C">
        <w:rPr>
          <w:rFonts w:ascii="Calibri" w:eastAsia="+mn-ea" w:hAnsi="Calibri" w:cs="Calibri"/>
          <w:b/>
          <w:bCs/>
          <w:color w:val="000000"/>
          <w:kern w:val="24"/>
          <w:sz w:val="24"/>
          <w:szCs w:val="24"/>
          <w14:ligatures w14:val="none"/>
        </w:rPr>
        <w:t xml:space="preserve">Please send resume and interest to:  Teresa Senisi, Director, Human Resources – </w:t>
      </w:r>
      <w:hyperlink r:id="rId9" w:history="1">
        <w:r w:rsidRPr="00D85D9C">
          <w:rPr>
            <w:rStyle w:val="Hyperlink"/>
            <w:rFonts w:ascii="Calibri" w:eastAsia="+mn-ea" w:hAnsi="Calibri" w:cs="Calibri"/>
            <w:b/>
            <w:bCs/>
            <w:kern w:val="24"/>
            <w:sz w:val="24"/>
            <w:szCs w:val="24"/>
            <w14:ligatures w14:val="none"/>
          </w:rPr>
          <w:t>tsenisi@triplemmetal.com</w:t>
        </w:r>
      </w:hyperlink>
    </w:p>
    <w:p w14:paraId="0D911E88" w14:textId="77777777" w:rsidR="00D85D9C" w:rsidRPr="00926962" w:rsidRDefault="00D85D9C" w:rsidP="00D85D9C">
      <w:pPr>
        <w:spacing w:after="0"/>
        <w:contextualSpacing/>
        <w:rPr>
          <w:rFonts w:ascii="Calibri" w:eastAsia="Times New Roman" w:hAnsi="Calibri" w:cs="Calibri"/>
          <w:kern w:val="0"/>
          <w:sz w:val="24"/>
          <w:szCs w:val="24"/>
          <w14:ligatures w14:val="none"/>
        </w:rPr>
      </w:pPr>
    </w:p>
    <w:p w14:paraId="09719552" w14:textId="77777777" w:rsidR="003A078B" w:rsidRPr="00926962" w:rsidRDefault="003A078B" w:rsidP="003A078B">
      <w:pPr>
        <w:spacing w:after="0"/>
        <w:contextualSpacing/>
        <w:rPr>
          <w:rFonts w:ascii="Calibri" w:eastAsia="+mn-ea" w:hAnsi="Calibri" w:cs="Calibri"/>
          <w:color w:val="000000"/>
          <w:kern w:val="24"/>
          <w:sz w:val="24"/>
          <w:szCs w:val="24"/>
          <w14:ligatures w14:val="none"/>
        </w:rPr>
      </w:pPr>
    </w:p>
    <w:p w14:paraId="31A1501C" w14:textId="0C3A9A2D" w:rsidR="003A078B" w:rsidRPr="00926962" w:rsidRDefault="00F36591" w:rsidP="003A078B">
      <w:pPr>
        <w:spacing w:after="0"/>
        <w:contextualSpacing/>
        <w:rPr>
          <w:rFonts w:ascii="Calibri" w:eastAsia="Times New Roman" w:hAnsi="Calibri" w:cs="Calibri"/>
          <w:b/>
          <w:bCs/>
          <w:kern w:val="0"/>
          <w:sz w:val="24"/>
          <w:szCs w:val="24"/>
          <w14:ligatures w14:val="none"/>
        </w:rPr>
      </w:pPr>
      <w:r w:rsidRPr="00F36591">
        <w:rPr>
          <w:rFonts w:ascii="Calibri" w:eastAsia="Times New Roman" w:hAnsi="Calibri" w:cs="Calibri"/>
          <w:b/>
          <w:bCs/>
          <w:kern w:val="0"/>
          <w:sz w:val="24"/>
          <w:szCs w:val="24"/>
          <w:highlight w:val="yellow"/>
          <w14:ligatures w14:val="none"/>
        </w:rPr>
        <w:t xml:space="preserve">Corporate </w:t>
      </w:r>
      <w:r w:rsidR="003A078B" w:rsidRPr="00F36591">
        <w:rPr>
          <w:rFonts w:ascii="Calibri" w:eastAsia="Times New Roman" w:hAnsi="Calibri" w:cs="Calibri"/>
          <w:b/>
          <w:bCs/>
          <w:kern w:val="0"/>
          <w:sz w:val="24"/>
          <w:szCs w:val="24"/>
          <w:highlight w:val="yellow"/>
          <w14:ligatures w14:val="none"/>
        </w:rPr>
        <w:t xml:space="preserve">Director </w:t>
      </w:r>
      <w:r>
        <w:rPr>
          <w:rFonts w:ascii="Calibri" w:eastAsia="Times New Roman" w:hAnsi="Calibri" w:cs="Calibri"/>
          <w:b/>
          <w:bCs/>
          <w:kern w:val="0"/>
          <w:sz w:val="24"/>
          <w:szCs w:val="24"/>
          <w:highlight w:val="yellow"/>
          <w14:ligatures w14:val="none"/>
        </w:rPr>
        <w:t xml:space="preserve">- </w:t>
      </w:r>
      <w:r w:rsidRPr="00F36591">
        <w:rPr>
          <w:rFonts w:ascii="Calibri" w:eastAsia="Times New Roman" w:hAnsi="Calibri" w:cs="Calibri"/>
          <w:b/>
          <w:bCs/>
          <w:kern w:val="0"/>
          <w:sz w:val="24"/>
          <w:szCs w:val="24"/>
          <w:highlight w:val="yellow"/>
          <w14:ligatures w14:val="none"/>
        </w:rPr>
        <w:t xml:space="preserve">Purchasing, Logistics and </w:t>
      </w:r>
      <w:r w:rsidR="003A078B" w:rsidRPr="00F36591">
        <w:rPr>
          <w:rFonts w:ascii="Calibri" w:eastAsia="Times New Roman" w:hAnsi="Calibri" w:cs="Calibri"/>
          <w:b/>
          <w:bCs/>
          <w:kern w:val="0"/>
          <w:sz w:val="24"/>
          <w:szCs w:val="24"/>
          <w:highlight w:val="yellow"/>
          <w14:ligatures w14:val="none"/>
        </w:rPr>
        <w:t>Supply Chain</w:t>
      </w:r>
      <w:r w:rsidR="003A078B" w:rsidRPr="00926962">
        <w:rPr>
          <w:rFonts w:ascii="Calibri" w:eastAsia="Times New Roman" w:hAnsi="Calibri" w:cs="Calibri"/>
          <w:b/>
          <w:bCs/>
          <w:kern w:val="0"/>
          <w:sz w:val="24"/>
          <w:szCs w:val="24"/>
          <w14:ligatures w14:val="none"/>
        </w:rPr>
        <w:t xml:space="preserve"> </w:t>
      </w:r>
    </w:p>
    <w:p w14:paraId="2C1AFB10" w14:textId="77777777" w:rsidR="003A078B" w:rsidRPr="00926962" w:rsidRDefault="003A078B" w:rsidP="003A078B">
      <w:pPr>
        <w:spacing w:after="0"/>
        <w:contextualSpacing/>
        <w:rPr>
          <w:rFonts w:ascii="Calibri" w:eastAsia="Times New Roman" w:hAnsi="Calibri" w:cs="Calibri"/>
          <w:b/>
          <w:bCs/>
          <w:kern w:val="0"/>
          <w:sz w:val="24"/>
          <w:szCs w:val="24"/>
          <w14:ligatures w14:val="none"/>
        </w:rPr>
      </w:pPr>
    </w:p>
    <w:p w14:paraId="1E46340A" w14:textId="7DE5E88E" w:rsidR="00F21122" w:rsidRPr="00926962" w:rsidRDefault="008F4353">
      <w:pPr>
        <w:rPr>
          <w:rFonts w:ascii="Calibri" w:hAnsi="Calibri" w:cs="Calibri"/>
          <w:color w:val="000000"/>
          <w:sz w:val="24"/>
          <w:szCs w:val="24"/>
        </w:rPr>
      </w:pPr>
      <w:r w:rsidRPr="00926962">
        <w:rPr>
          <w:rFonts w:ascii="Calibri" w:hAnsi="Calibri" w:cs="Calibri"/>
          <w:color w:val="000000"/>
          <w:sz w:val="24"/>
          <w:szCs w:val="24"/>
        </w:rPr>
        <w:t xml:space="preserve">Provide leadership and strategic direction across all the GGI divisions as it encompasses MRO, Indirect and capex purchasing, logistics and supply chain activities.  Setting Corporate Policy and Procedures for common purchasing and logistics activities across the GGI divisions.  Leads corporate synergy projects, leveraging </w:t>
      </w:r>
      <w:proofErr w:type="spellStart"/>
      <w:r w:rsidRPr="00926962">
        <w:rPr>
          <w:rFonts w:ascii="Calibri" w:hAnsi="Calibri" w:cs="Calibri"/>
          <w:color w:val="000000"/>
          <w:sz w:val="24"/>
          <w:szCs w:val="24"/>
        </w:rPr>
        <w:t>company wide</w:t>
      </w:r>
      <w:proofErr w:type="spellEnd"/>
      <w:r w:rsidRPr="00926962">
        <w:rPr>
          <w:rFonts w:ascii="Calibri" w:hAnsi="Calibri" w:cs="Calibri"/>
          <w:color w:val="000000"/>
          <w:sz w:val="24"/>
          <w:szCs w:val="24"/>
        </w:rPr>
        <w:t xml:space="preserve"> spends.  Oversees and performs corporate RFP’s, and process improvement projects.    Coach and mentor the purchasing and logistics leaders across all the divisions resulting in cost savings, process optimization and standardization. Develop a professional and successful Supply Chain Team, driving best practice and sharing across GGI.</w:t>
      </w:r>
    </w:p>
    <w:p w14:paraId="667C2E49" w14:textId="77777777" w:rsidR="008F4353" w:rsidRPr="00926962" w:rsidRDefault="008F4353">
      <w:pPr>
        <w:rPr>
          <w:rFonts w:ascii="Calibri" w:hAnsi="Calibri" w:cs="Calibri"/>
          <w:color w:val="000000"/>
          <w:sz w:val="24"/>
          <w:szCs w:val="24"/>
        </w:rPr>
      </w:pPr>
    </w:p>
    <w:p w14:paraId="746481BE" w14:textId="669686F6" w:rsidR="008F4353" w:rsidRPr="00926962" w:rsidRDefault="008F4353">
      <w:pPr>
        <w:rPr>
          <w:rFonts w:ascii="Calibri" w:hAnsi="Calibri" w:cs="Calibri"/>
          <w:b/>
          <w:bCs/>
          <w:color w:val="000000"/>
          <w:sz w:val="24"/>
          <w:szCs w:val="24"/>
        </w:rPr>
      </w:pPr>
      <w:r w:rsidRPr="00926962">
        <w:rPr>
          <w:rFonts w:ascii="Calibri" w:hAnsi="Calibri" w:cs="Calibri"/>
          <w:b/>
          <w:bCs/>
          <w:color w:val="000000"/>
          <w:sz w:val="24"/>
          <w:szCs w:val="24"/>
        </w:rPr>
        <w:t>Key Responsibilities</w:t>
      </w:r>
    </w:p>
    <w:tbl>
      <w:tblPr>
        <w:tblW w:w="10230" w:type="dxa"/>
        <w:jc w:val="center"/>
        <w:tblBorders>
          <w:top w:val="single" w:sz="24" w:space="0" w:color="FFFFFF"/>
          <w:left w:val="single" w:sz="24" w:space="0" w:color="FFFFFF"/>
          <w:right w:val="single" w:sz="24" w:space="0" w:color="FFFFFF"/>
          <w:insideH w:val="single" w:sz="24" w:space="0" w:color="FFFFFF"/>
          <w:insideV w:val="single" w:sz="24" w:space="0" w:color="FFFFFF"/>
        </w:tblBorders>
        <w:tblLayout w:type="fixed"/>
        <w:tblCellMar>
          <w:top w:w="115" w:type="dxa"/>
          <w:left w:w="115" w:type="dxa"/>
          <w:bottom w:w="115" w:type="dxa"/>
          <w:right w:w="115" w:type="dxa"/>
        </w:tblCellMar>
        <w:tblLook w:val="04A0" w:firstRow="1" w:lastRow="0" w:firstColumn="1" w:lastColumn="0" w:noHBand="0" w:noVBand="1"/>
      </w:tblPr>
      <w:tblGrid>
        <w:gridCol w:w="10230"/>
      </w:tblGrid>
      <w:tr w:rsidR="008F4353" w:rsidRPr="00926962" w14:paraId="60924BBB" w14:textId="77777777" w:rsidTr="00926962">
        <w:trPr>
          <w:trHeight w:val="599"/>
          <w:jc w:val="center"/>
        </w:trPr>
        <w:tc>
          <w:tcPr>
            <w:tcW w:w="10230" w:type="dxa"/>
            <w:tcBorders>
              <w:top w:val="single" w:sz="24" w:space="0" w:color="FFFFFF"/>
              <w:bottom w:val="single" w:sz="24" w:space="0" w:color="FFFFFF"/>
            </w:tcBorders>
            <w:shd w:val="clear" w:color="auto" w:fill="auto"/>
          </w:tcPr>
          <w:p w14:paraId="42981CB6" w14:textId="77777777" w:rsidR="008F4353" w:rsidRPr="00926962" w:rsidRDefault="008F4353" w:rsidP="008F4353">
            <w:pPr>
              <w:pStyle w:val="ListParagraph"/>
              <w:numPr>
                <w:ilvl w:val="0"/>
                <w:numId w:val="1"/>
              </w:numPr>
              <w:rPr>
                <w:rFonts w:ascii="Calibri" w:eastAsia="Times New Roman" w:hAnsi="Calibri" w:cs="Calibri"/>
                <w:sz w:val="24"/>
                <w:szCs w:val="24"/>
                <w:lang w:val="en-CA"/>
              </w:rPr>
            </w:pPr>
            <w:r w:rsidRPr="00926962">
              <w:rPr>
                <w:rFonts w:ascii="Calibri" w:eastAsia="Times New Roman" w:hAnsi="Calibri" w:cs="Calibri"/>
                <w:sz w:val="24"/>
                <w:szCs w:val="24"/>
                <w:lang w:val="en-CA"/>
              </w:rPr>
              <w:lastRenderedPageBreak/>
              <w:t>Achieve Sustainable Cost Savings through strategic sourcing, supplier negotiation, market analysis, and division synergies.  Continue developing preferred supplier programs in the MRO category as part of the strategic sourcing initiative.  Lead Logistics data gathering and analysis and across GGI, bring cost savings opportunities and optimization programs. Designs and produces with team many key reports to ensure compliance, cost savings, spend transparency.</w:t>
            </w:r>
          </w:p>
        </w:tc>
      </w:tr>
      <w:tr w:rsidR="008F4353" w:rsidRPr="00926962" w14:paraId="54BDD390" w14:textId="77777777" w:rsidTr="00926962">
        <w:trPr>
          <w:trHeight w:val="887"/>
          <w:jc w:val="center"/>
        </w:trPr>
        <w:tc>
          <w:tcPr>
            <w:tcW w:w="10230" w:type="dxa"/>
            <w:shd w:val="clear" w:color="auto" w:fill="auto"/>
          </w:tcPr>
          <w:p w14:paraId="67702810" w14:textId="77777777" w:rsidR="008F4353" w:rsidRPr="00926962" w:rsidRDefault="008F4353" w:rsidP="008F4353">
            <w:pPr>
              <w:pStyle w:val="ListParagraph"/>
              <w:numPr>
                <w:ilvl w:val="0"/>
                <w:numId w:val="1"/>
              </w:numPr>
              <w:rPr>
                <w:rFonts w:ascii="Calibri" w:hAnsi="Calibri" w:cs="Calibri"/>
                <w:sz w:val="24"/>
                <w:szCs w:val="24"/>
              </w:rPr>
            </w:pPr>
            <w:r w:rsidRPr="00926962">
              <w:rPr>
                <w:rFonts w:ascii="Calibri" w:hAnsi="Calibri" w:cs="Calibri"/>
                <w:sz w:val="24"/>
                <w:szCs w:val="24"/>
              </w:rPr>
              <w:t xml:space="preserve">Sets the Company Purchasing Strategy and project priorities for the GGI Purchasing team for reporting, cost saving initiatives, new program implementation.  Monitors and guides the team for success.    Develop and cascade the Corporate Policy and Procedures for common purchasing and logistics activities across GGI.  </w:t>
            </w:r>
          </w:p>
        </w:tc>
      </w:tr>
      <w:tr w:rsidR="008F4353" w:rsidRPr="00926962" w14:paraId="31915E9D" w14:textId="77777777" w:rsidTr="00926962">
        <w:trPr>
          <w:trHeight w:val="654"/>
          <w:jc w:val="center"/>
        </w:trPr>
        <w:tc>
          <w:tcPr>
            <w:tcW w:w="10230" w:type="dxa"/>
            <w:shd w:val="clear" w:color="auto" w:fill="auto"/>
            <w:vAlign w:val="center"/>
          </w:tcPr>
          <w:p w14:paraId="116A2EC8" w14:textId="25444A46" w:rsidR="008F4353" w:rsidRPr="00926962" w:rsidRDefault="008F4353" w:rsidP="008F4353">
            <w:pPr>
              <w:pStyle w:val="ListParagraph"/>
              <w:numPr>
                <w:ilvl w:val="0"/>
                <w:numId w:val="1"/>
              </w:numPr>
              <w:rPr>
                <w:rFonts w:ascii="Calibri" w:hAnsi="Calibri" w:cs="Calibri"/>
                <w:sz w:val="24"/>
                <w:szCs w:val="24"/>
              </w:rPr>
            </w:pPr>
            <w:r w:rsidRPr="00926962">
              <w:rPr>
                <w:rFonts w:ascii="Calibri" w:hAnsi="Calibri" w:cs="Calibri"/>
                <w:sz w:val="24"/>
                <w:szCs w:val="24"/>
              </w:rPr>
              <w:t xml:space="preserve">Analyze current purchasing, logistics and some selected supply chain processes and recommend and design process and system improvements for the divisions. This will result in increased efficiency, decrease of non-value add activities, streamlining of operations, compliance and an engaged team with clarity of roles and responsibilities.  </w:t>
            </w:r>
          </w:p>
        </w:tc>
      </w:tr>
      <w:tr w:rsidR="008F4353" w:rsidRPr="00926962" w14:paraId="38DE42B5" w14:textId="77777777" w:rsidTr="00926962">
        <w:trPr>
          <w:trHeight w:val="654"/>
          <w:jc w:val="center"/>
        </w:trPr>
        <w:tc>
          <w:tcPr>
            <w:tcW w:w="10230" w:type="dxa"/>
            <w:shd w:val="clear" w:color="auto" w:fill="auto"/>
            <w:vAlign w:val="center"/>
          </w:tcPr>
          <w:p w14:paraId="30E76A1A" w14:textId="77777777" w:rsidR="008F4353" w:rsidRPr="00926962" w:rsidRDefault="008F4353" w:rsidP="008F4353">
            <w:pPr>
              <w:pStyle w:val="ListParagraph"/>
              <w:numPr>
                <w:ilvl w:val="0"/>
                <w:numId w:val="1"/>
              </w:numPr>
              <w:rPr>
                <w:rFonts w:ascii="Calibri" w:hAnsi="Calibri" w:cs="Calibri"/>
                <w:sz w:val="24"/>
                <w:szCs w:val="24"/>
              </w:rPr>
            </w:pPr>
            <w:r w:rsidRPr="00926962">
              <w:rPr>
                <w:rFonts w:ascii="Calibri" w:hAnsi="Calibri" w:cs="Calibri"/>
                <w:sz w:val="24"/>
                <w:szCs w:val="24"/>
              </w:rPr>
              <w:t>Lead, Coach, Mentor – directly to the GGI Supply Chain Teams and also into the division Supply Chain Teams.  Assess the capabilities of the teams and provide coaching and guidance to professionalize the supply chain organization.   Works very closely with Division Supply Chain Teams to develop strategy.</w:t>
            </w:r>
          </w:p>
        </w:tc>
      </w:tr>
      <w:tr w:rsidR="008F4353" w:rsidRPr="00926962" w14:paraId="6439901C" w14:textId="77777777" w:rsidTr="00926962">
        <w:trPr>
          <w:trHeight w:val="654"/>
          <w:jc w:val="center"/>
        </w:trPr>
        <w:tc>
          <w:tcPr>
            <w:tcW w:w="10230" w:type="dxa"/>
            <w:shd w:val="clear" w:color="auto" w:fill="auto"/>
            <w:vAlign w:val="center"/>
          </w:tcPr>
          <w:p w14:paraId="41B1FCBC" w14:textId="77777777" w:rsidR="008F4353" w:rsidRPr="00926962" w:rsidRDefault="008F4353" w:rsidP="008F4353">
            <w:pPr>
              <w:pStyle w:val="ListParagraph"/>
              <w:numPr>
                <w:ilvl w:val="0"/>
                <w:numId w:val="1"/>
              </w:numPr>
              <w:rPr>
                <w:rFonts w:ascii="Calibri" w:hAnsi="Calibri" w:cs="Calibri"/>
                <w:sz w:val="24"/>
                <w:szCs w:val="24"/>
              </w:rPr>
            </w:pPr>
            <w:r w:rsidRPr="00926962">
              <w:rPr>
                <w:rFonts w:ascii="Calibri" w:hAnsi="Calibri" w:cs="Calibri"/>
                <w:sz w:val="24"/>
                <w:szCs w:val="24"/>
              </w:rPr>
              <w:t xml:space="preserve">Quality &amp; Environmental Responsibilities- Oversee the vendor management at GGI, and with that recommend procedures that ensure suppliers meet our quality and environmental standards. Assist in driving reduced carbon footprint and sustainability programs.  </w:t>
            </w:r>
          </w:p>
        </w:tc>
      </w:tr>
      <w:tr w:rsidR="008F4353" w:rsidRPr="00926962" w14:paraId="1D9BF64F" w14:textId="77777777" w:rsidTr="00926962">
        <w:trPr>
          <w:trHeight w:val="654"/>
          <w:jc w:val="center"/>
        </w:trPr>
        <w:tc>
          <w:tcPr>
            <w:tcW w:w="10230" w:type="dxa"/>
            <w:shd w:val="clear" w:color="auto" w:fill="auto"/>
          </w:tcPr>
          <w:p w14:paraId="7F98303B" w14:textId="77777777" w:rsidR="008F4353" w:rsidRPr="00926962" w:rsidRDefault="008F4353" w:rsidP="008F4353">
            <w:pPr>
              <w:pStyle w:val="ListParagraph"/>
              <w:numPr>
                <w:ilvl w:val="0"/>
                <w:numId w:val="1"/>
              </w:numPr>
              <w:rPr>
                <w:rFonts w:ascii="Calibri" w:eastAsia="Times New Roman" w:hAnsi="Calibri" w:cs="Calibri"/>
                <w:sz w:val="24"/>
                <w:szCs w:val="24"/>
                <w:lang w:val="en-CA"/>
              </w:rPr>
            </w:pPr>
            <w:r w:rsidRPr="00926962">
              <w:rPr>
                <w:rFonts w:ascii="Calibri" w:hAnsi="Calibri" w:cs="Calibri"/>
                <w:sz w:val="24"/>
                <w:szCs w:val="24"/>
              </w:rPr>
              <w:t>Health</w:t>
            </w:r>
            <w:r w:rsidRPr="00926962">
              <w:rPr>
                <w:rFonts w:ascii="Calibri" w:hAnsi="Calibri" w:cs="Calibri"/>
                <w:b/>
                <w:bCs/>
                <w:sz w:val="24"/>
                <w:szCs w:val="24"/>
                <w:u w:val="single"/>
                <w:lang w:val="en-GB"/>
              </w:rPr>
              <w:t xml:space="preserve"> </w:t>
            </w:r>
            <w:r w:rsidRPr="00926962">
              <w:rPr>
                <w:rFonts w:ascii="Calibri" w:hAnsi="Calibri" w:cs="Calibri"/>
                <w:bCs/>
                <w:sz w:val="24"/>
                <w:szCs w:val="24"/>
                <w:lang w:val="en-GB"/>
              </w:rPr>
              <w:t>&amp; Safety Responsibilities</w:t>
            </w:r>
            <w:r w:rsidRPr="00926962">
              <w:rPr>
                <w:rFonts w:ascii="Calibri" w:hAnsi="Calibri" w:cs="Calibri"/>
                <w:b/>
                <w:bCs/>
                <w:sz w:val="24"/>
                <w:szCs w:val="24"/>
                <w:u w:val="single"/>
                <w:lang w:val="en-GB"/>
              </w:rPr>
              <w:t xml:space="preserve"> -  </w:t>
            </w:r>
            <w:r w:rsidRPr="00926962">
              <w:rPr>
                <w:rFonts w:ascii="Calibri" w:hAnsi="Calibri" w:cs="Calibri"/>
                <w:bCs/>
                <w:sz w:val="24"/>
                <w:szCs w:val="24"/>
                <w:lang w:val="en-GB"/>
              </w:rPr>
              <w:t xml:space="preserve">Ensure all team members and suppliers work as to the health and safety rules of our GGI divisions.  </w:t>
            </w:r>
          </w:p>
          <w:p w14:paraId="60124947" w14:textId="77777777" w:rsidR="00B24AA6" w:rsidRPr="00926962" w:rsidRDefault="00B24AA6" w:rsidP="00B24AA6">
            <w:pPr>
              <w:rPr>
                <w:rFonts w:ascii="Calibri" w:eastAsia="Times New Roman" w:hAnsi="Calibri" w:cs="Calibri"/>
                <w:sz w:val="24"/>
                <w:szCs w:val="24"/>
                <w:lang w:val="en-CA"/>
              </w:rPr>
            </w:pPr>
          </w:p>
          <w:p w14:paraId="760C9358" w14:textId="77777777" w:rsidR="00B24AA6" w:rsidRPr="00926962" w:rsidRDefault="00B24AA6" w:rsidP="00B24AA6">
            <w:pPr>
              <w:rPr>
                <w:rFonts w:ascii="Calibri" w:eastAsia="Times New Roman" w:hAnsi="Calibri" w:cs="Calibri"/>
                <w:b/>
                <w:bCs/>
                <w:sz w:val="24"/>
                <w:szCs w:val="24"/>
                <w:lang w:val="en-CA"/>
              </w:rPr>
            </w:pPr>
            <w:r w:rsidRPr="00926962">
              <w:rPr>
                <w:rFonts w:ascii="Calibri" w:eastAsia="Times New Roman" w:hAnsi="Calibri" w:cs="Calibri"/>
                <w:b/>
                <w:bCs/>
                <w:sz w:val="24"/>
                <w:szCs w:val="24"/>
                <w:lang w:val="en-CA"/>
              </w:rPr>
              <w:t>Communication &amp; Relationships</w:t>
            </w:r>
          </w:p>
          <w:tbl>
            <w:tblPr>
              <w:tblW w:w="10230" w:type="dxa"/>
              <w:jc w:val="center"/>
              <w:tblBorders>
                <w:top w:val="single" w:sz="24" w:space="0" w:color="FFFFFF"/>
                <w:left w:val="single" w:sz="24" w:space="0" w:color="FFFFFF"/>
                <w:right w:val="single" w:sz="24" w:space="0" w:color="FFFFFF"/>
                <w:insideH w:val="single" w:sz="24" w:space="0" w:color="FFFFFF"/>
                <w:insideV w:val="single" w:sz="24" w:space="0" w:color="FFFFFF"/>
              </w:tblBorders>
              <w:tblLayout w:type="fixed"/>
              <w:tblCellMar>
                <w:top w:w="115" w:type="dxa"/>
                <w:left w:w="115" w:type="dxa"/>
                <w:bottom w:w="115" w:type="dxa"/>
                <w:right w:w="115" w:type="dxa"/>
              </w:tblCellMar>
              <w:tblLook w:val="04A0" w:firstRow="1" w:lastRow="0" w:firstColumn="1" w:lastColumn="0" w:noHBand="0" w:noVBand="1"/>
            </w:tblPr>
            <w:tblGrid>
              <w:gridCol w:w="1860"/>
              <w:gridCol w:w="2790"/>
              <w:gridCol w:w="5580"/>
            </w:tblGrid>
            <w:tr w:rsidR="00B24AA6" w:rsidRPr="00926962" w14:paraId="2D696FFB" w14:textId="77777777" w:rsidTr="00B24AA6">
              <w:trPr>
                <w:trHeight w:val="239"/>
                <w:jc w:val="center"/>
              </w:trPr>
              <w:tc>
                <w:tcPr>
                  <w:tcW w:w="1860" w:type="dxa"/>
                  <w:tcBorders>
                    <w:top w:val="single" w:sz="24" w:space="0" w:color="FFFFFF"/>
                    <w:bottom w:val="single" w:sz="24" w:space="0" w:color="FFFFFF"/>
                  </w:tcBorders>
                  <w:shd w:val="clear" w:color="auto" w:fill="auto"/>
                  <w:vAlign w:val="center"/>
                </w:tcPr>
                <w:p w14:paraId="574F69B1" w14:textId="77777777" w:rsidR="00B24AA6" w:rsidRPr="00926962" w:rsidRDefault="00B24AA6" w:rsidP="00B24AA6">
                  <w:pPr>
                    <w:rPr>
                      <w:rFonts w:ascii="Calibri" w:hAnsi="Calibri" w:cs="Calibri"/>
                      <w:color w:val="30735F"/>
                      <w:sz w:val="24"/>
                      <w:szCs w:val="24"/>
                    </w:rPr>
                  </w:pPr>
                  <w:r w:rsidRPr="00926962">
                    <w:rPr>
                      <w:rFonts w:ascii="Calibri" w:hAnsi="Calibri" w:cs="Calibri"/>
                      <w:color w:val="30735F"/>
                      <w:sz w:val="24"/>
                      <w:szCs w:val="24"/>
                    </w:rPr>
                    <w:t>External</w:t>
                  </w:r>
                </w:p>
              </w:tc>
              <w:tc>
                <w:tcPr>
                  <w:tcW w:w="2790" w:type="dxa"/>
                  <w:tcBorders>
                    <w:top w:val="single" w:sz="24" w:space="0" w:color="FFFFFF"/>
                    <w:bottom w:val="single" w:sz="24" w:space="0" w:color="FFFFFF"/>
                  </w:tcBorders>
                  <w:shd w:val="clear" w:color="auto" w:fill="auto"/>
                  <w:vAlign w:val="center"/>
                </w:tcPr>
                <w:p w14:paraId="1C967E66" w14:textId="77777777" w:rsidR="00B24AA6" w:rsidRPr="00926962" w:rsidRDefault="00B24AA6" w:rsidP="00B24AA6">
                  <w:pPr>
                    <w:rPr>
                      <w:rFonts w:ascii="Calibri" w:hAnsi="Calibri" w:cs="Calibri"/>
                      <w:sz w:val="24"/>
                      <w:szCs w:val="24"/>
                    </w:rPr>
                  </w:pPr>
                  <w:r w:rsidRPr="00926962">
                    <w:rPr>
                      <w:rFonts w:ascii="Calibri" w:hAnsi="Calibri" w:cs="Calibri"/>
                      <w:sz w:val="24"/>
                      <w:szCs w:val="24"/>
                    </w:rPr>
                    <w:t>Suppliers</w:t>
                  </w:r>
                </w:p>
              </w:tc>
              <w:tc>
                <w:tcPr>
                  <w:tcW w:w="5580" w:type="dxa"/>
                  <w:tcBorders>
                    <w:top w:val="single" w:sz="24" w:space="0" w:color="FFFFFF"/>
                    <w:bottom w:val="single" w:sz="24" w:space="0" w:color="FFFFFF"/>
                  </w:tcBorders>
                  <w:shd w:val="clear" w:color="auto" w:fill="auto"/>
                  <w:vAlign w:val="center"/>
                </w:tcPr>
                <w:p w14:paraId="547BD363" w14:textId="77777777" w:rsidR="00B24AA6" w:rsidRPr="00926962" w:rsidRDefault="00B24AA6" w:rsidP="00B24AA6">
                  <w:pPr>
                    <w:rPr>
                      <w:rFonts w:ascii="Calibri" w:hAnsi="Calibri" w:cs="Calibri"/>
                      <w:sz w:val="24"/>
                      <w:szCs w:val="24"/>
                    </w:rPr>
                  </w:pPr>
                  <w:r w:rsidRPr="00926962">
                    <w:rPr>
                      <w:rFonts w:ascii="Calibri" w:hAnsi="Calibri" w:cs="Calibri"/>
                      <w:sz w:val="24"/>
                      <w:szCs w:val="24"/>
                    </w:rPr>
                    <w:t>Relationship management, negotiation, contract management, development of programs.  Working with suppliers on innovation and new ideas to bring to the Divisions</w:t>
                  </w:r>
                </w:p>
              </w:tc>
            </w:tr>
            <w:tr w:rsidR="00B24AA6" w:rsidRPr="00926962" w14:paraId="591BBADC" w14:textId="77777777" w:rsidTr="00B24AA6">
              <w:trPr>
                <w:trHeight w:val="20"/>
                <w:jc w:val="center"/>
              </w:trPr>
              <w:tc>
                <w:tcPr>
                  <w:tcW w:w="1860" w:type="dxa"/>
                  <w:tcBorders>
                    <w:top w:val="single" w:sz="24" w:space="0" w:color="FFFFFF"/>
                    <w:bottom w:val="single" w:sz="24" w:space="0" w:color="FFFFFF"/>
                  </w:tcBorders>
                  <w:shd w:val="clear" w:color="auto" w:fill="auto"/>
                  <w:vAlign w:val="center"/>
                </w:tcPr>
                <w:p w14:paraId="40F9C30E" w14:textId="77777777" w:rsidR="00B24AA6" w:rsidRPr="00926962" w:rsidRDefault="00B24AA6" w:rsidP="00B24AA6">
                  <w:pPr>
                    <w:rPr>
                      <w:rFonts w:ascii="Calibri" w:hAnsi="Calibri" w:cs="Calibri"/>
                      <w:color w:val="30735F"/>
                      <w:sz w:val="24"/>
                      <w:szCs w:val="24"/>
                    </w:rPr>
                  </w:pPr>
                  <w:r w:rsidRPr="00926962">
                    <w:rPr>
                      <w:rFonts w:ascii="Calibri" w:hAnsi="Calibri" w:cs="Calibri"/>
                      <w:color w:val="30735F"/>
                      <w:sz w:val="24"/>
                      <w:szCs w:val="24"/>
                    </w:rPr>
                    <w:lastRenderedPageBreak/>
                    <w:t>Internal</w:t>
                  </w:r>
                </w:p>
              </w:tc>
              <w:tc>
                <w:tcPr>
                  <w:tcW w:w="2790" w:type="dxa"/>
                  <w:tcBorders>
                    <w:top w:val="single" w:sz="24" w:space="0" w:color="FFFFFF"/>
                    <w:bottom w:val="single" w:sz="24" w:space="0" w:color="FFFFFF"/>
                  </w:tcBorders>
                  <w:shd w:val="clear" w:color="auto" w:fill="auto"/>
                  <w:vAlign w:val="center"/>
                </w:tcPr>
                <w:p w14:paraId="48BCC5E1" w14:textId="77777777" w:rsidR="00B24AA6" w:rsidRPr="00926962" w:rsidRDefault="00B24AA6" w:rsidP="00B24AA6">
                  <w:pPr>
                    <w:rPr>
                      <w:rFonts w:ascii="Calibri" w:hAnsi="Calibri" w:cs="Calibri"/>
                      <w:sz w:val="24"/>
                      <w:szCs w:val="24"/>
                    </w:rPr>
                  </w:pPr>
                  <w:r w:rsidRPr="00926962">
                    <w:rPr>
                      <w:rFonts w:ascii="Calibri" w:hAnsi="Calibri" w:cs="Calibri"/>
                      <w:sz w:val="24"/>
                      <w:szCs w:val="24"/>
                    </w:rPr>
                    <w:t>Purchasing Staff</w:t>
                  </w:r>
                </w:p>
              </w:tc>
              <w:tc>
                <w:tcPr>
                  <w:tcW w:w="5580" w:type="dxa"/>
                  <w:tcBorders>
                    <w:top w:val="single" w:sz="24" w:space="0" w:color="FFFFFF"/>
                    <w:bottom w:val="single" w:sz="24" w:space="0" w:color="FFFFFF"/>
                  </w:tcBorders>
                  <w:shd w:val="clear" w:color="auto" w:fill="auto"/>
                  <w:vAlign w:val="center"/>
                </w:tcPr>
                <w:p w14:paraId="0D0021C2" w14:textId="77777777" w:rsidR="00B24AA6" w:rsidRPr="00926962" w:rsidRDefault="00B24AA6" w:rsidP="00B24AA6">
                  <w:pPr>
                    <w:rPr>
                      <w:rFonts w:ascii="Calibri" w:hAnsi="Calibri" w:cs="Calibri"/>
                      <w:sz w:val="24"/>
                      <w:szCs w:val="24"/>
                    </w:rPr>
                  </w:pPr>
                  <w:r w:rsidRPr="00926962">
                    <w:rPr>
                      <w:rFonts w:ascii="Calibri" w:hAnsi="Calibri" w:cs="Calibri"/>
                      <w:sz w:val="24"/>
                      <w:szCs w:val="24"/>
                    </w:rPr>
                    <w:t xml:space="preserve">Coaching, Mentoring, Guiding on professional purchasing and supply chain methods and approaches.  Cascading policy, procedure and process.  </w:t>
                  </w:r>
                </w:p>
              </w:tc>
            </w:tr>
            <w:tr w:rsidR="00B24AA6" w:rsidRPr="00926962" w14:paraId="7813C80C" w14:textId="77777777" w:rsidTr="00B24AA6">
              <w:trPr>
                <w:trHeight w:val="680"/>
                <w:jc w:val="center"/>
              </w:trPr>
              <w:tc>
                <w:tcPr>
                  <w:tcW w:w="1860" w:type="dxa"/>
                  <w:shd w:val="clear" w:color="auto" w:fill="auto"/>
                  <w:vAlign w:val="center"/>
                </w:tcPr>
                <w:p w14:paraId="17DC6A48" w14:textId="77777777" w:rsidR="00B24AA6" w:rsidRPr="00926962" w:rsidRDefault="00B24AA6" w:rsidP="00B24AA6">
                  <w:pPr>
                    <w:rPr>
                      <w:rFonts w:ascii="Calibri" w:hAnsi="Calibri" w:cs="Calibri"/>
                      <w:color w:val="30735F"/>
                      <w:sz w:val="24"/>
                      <w:szCs w:val="24"/>
                    </w:rPr>
                  </w:pPr>
                  <w:r w:rsidRPr="00926962">
                    <w:rPr>
                      <w:rFonts w:ascii="Calibri" w:hAnsi="Calibri" w:cs="Calibri"/>
                      <w:color w:val="30735F"/>
                      <w:sz w:val="24"/>
                      <w:szCs w:val="24"/>
                    </w:rPr>
                    <w:t>Internal</w:t>
                  </w:r>
                </w:p>
              </w:tc>
              <w:tc>
                <w:tcPr>
                  <w:tcW w:w="2790" w:type="dxa"/>
                  <w:shd w:val="clear" w:color="auto" w:fill="auto"/>
                  <w:vAlign w:val="center"/>
                </w:tcPr>
                <w:p w14:paraId="7DE61642" w14:textId="77777777" w:rsidR="00B24AA6" w:rsidRPr="00926962" w:rsidRDefault="00B24AA6" w:rsidP="00B24AA6">
                  <w:pPr>
                    <w:rPr>
                      <w:rFonts w:ascii="Calibri" w:hAnsi="Calibri" w:cs="Calibri"/>
                      <w:color w:val="30735F"/>
                      <w:sz w:val="24"/>
                      <w:szCs w:val="24"/>
                    </w:rPr>
                  </w:pPr>
                  <w:r w:rsidRPr="00926962">
                    <w:rPr>
                      <w:rFonts w:ascii="Calibri" w:hAnsi="Calibri" w:cs="Calibri"/>
                      <w:sz w:val="24"/>
                      <w:szCs w:val="24"/>
                    </w:rPr>
                    <w:t>GGI Executive</w:t>
                  </w:r>
                </w:p>
              </w:tc>
              <w:tc>
                <w:tcPr>
                  <w:tcW w:w="5580" w:type="dxa"/>
                  <w:shd w:val="clear" w:color="auto" w:fill="auto"/>
                  <w:vAlign w:val="center"/>
                </w:tcPr>
                <w:p w14:paraId="7EF0D477" w14:textId="77777777" w:rsidR="00B24AA6" w:rsidRPr="00926962" w:rsidRDefault="00B24AA6" w:rsidP="00B24AA6">
                  <w:pPr>
                    <w:rPr>
                      <w:rFonts w:ascii="Calibri" w:hAnsi="Calibri" w:cs="Calibri"/>
                      <w:color w:val="30735F"/>
                      <w:sz w:val="24"/>
                      <w:szCs w:val="24"/>
                    </w:rPr>
                  </w:pPr>
                  <w:r w:rsidRPr="00926962">
                    <w:rPr>
                      <w:rFonts w:ascii="Calibri" w:hAnsi="Calibri" w:cs="Calibri"/>
                      <w:sz w:val="24"/>
                      <w:szCs w:val="24"/>
                    </w:rPr>
                    <w:t xml:space="preserve">Purchasing/Supply Chain Strategy.  Regular reporting of activity of GGI Supply Chain.  New Initiative approval.  </w:t>
                  </w:r>
                </w:p>
              </w:tc>
            </w:tr>
            <w:tr w:rsidR="00B24AA6" w:rsidRPr="00926962" w14:paraId="011C4A0C" w14:textId="77777777" w:rsidTr="00B24AA6">
              <w:trPr>
                <w:trHeight w:val="1094"/>
                <w:jc w:val="center"/>
              </w:trPr>
              <w:tc>
                <w:tcPr>
                  <w:tcW w:w="1860" w:type="dxa"/>
                  <w:shd w:val="clear" w:color="auto" w:fill="auto"/>
                  <w:vAlign w:val="center"/>
                </w:tcPr>
                <w:p w14:paraId="29EE6714" w14:textId="77777777" w:rsidR="00B24AA6" w:rsidRPr="00926962" w:rsidRDefault="00B24AA6" w:rsidP="00B24AA6">
                  <w:pPr>
                    <w:rPr>
                      <w:rFonts w:ascii="Calibri" w:hAnsi="Calibri" w:cs="Calibri"/>
                      <w:color w:val="30735F"/>
                      <w:sz w:val="24"/>
                      <w:szCs w:val="24"/>
                    </w:rPr>
                  </w:pPr>
                  <w:r w:rsidRPr="00926962">
                    <w:rPr>
                      <w:rFonts w:ascii="Calibri" w:hAnsi="Calibri" w:cs="Calibri"/>
                      <w:color w:val="30735F"/>
                      <w:sz w:val="24"/>
                      <w:szCs w:val="24"/>
                    </w:rPr>
                    <w:t>Internal</w:t>
                  </w:r>
                </w:p>
              </w:tc>
              <w:tc>
                <w:tcPr>
                  <w:tcW w:w="2790" w:type="dxa"/>
                  <w:shd w:val="clear" w:color="auto" w:fill="auto"/>
                  <w:vAlign w:val="center"/>
                </w:tcPr>
                <w:p w14:paraId="39F52157" w14:textId="77777777" w:rsidR="00B24AA6" w:rsidRPr="00926962" w:rsidRDefault="00B24AA6" w:rsidP="00B24AA6">
                  <w:pPr>
                    <w:rPr>
                      <w:rFonts w:ascii="Calibri" w:hAnsi="Calibri" w:cs="Calibri"/>
                      <w:color w:val="30735F"/>
                      <w:sz w:val="24"/>
                      <w:szCs w:val="24"/>
                    </w:rPr>
                  </w:pPr>
                  <w:r w:rsidRPr="00926962">
                    <w:rPr>
                      <w:rFonts w:ascii="Calibri" w:hAnsi="Calibri" w:cs="Calibri"/>
                      <w:sz w:val="24"/>
                      <w:szCs w:val="24"/>
                    </w:rPr>
                    <w:t>Division Leaders</w:t>
                  </w:r>
                </w:p>
              </w:tc>
              <w:tc>
                <w:tcPr>
                  <w:tcW w:w="5580" w:type="dxa"/>
                  <w:shd w:val="clear" w:color="auto" w:fill="auto"/>
                  <w:vAlign w:val="center"/>
                </w:tcPr>
                <w:p w14:paraId="0C0CCD7E" w14:textId="77777777" w:rsidR="00B24AA6" w:rsidRPr="00926962" w:rsidRDefault="00B24AA6" w:rsidP="00B24AA6">
                  <w:pPr>
                    <w:rPr>
                      <w:rFonts w:ascii="Calibri" w:hAnsi="Calibri" w:cs="Calibri"/>
                      <w:sz w:val="24"/>
                      <w:szCs w:val="24"/>
                    </w:rPr>
                  </w:pPr>
                  <w:r w:rsidRPr="00926962">
                    <w:rPr>
                      <w:rFonts w:ascii="Calibri" w:hAnsi="Calibri" w:cs="Calibri"/>
                      <w:sz w:val="24"/>
                      <w:szCs w:val="24"/>
                    </w:rPr>
                    <w:t>Purchasing/Supply Chain Progress, advise and update on  new programs, update on strategy.  Take direction from Division Leaders on priorities or activities they would like GGI support on.</w:t>
                  </w:r>
                </w:p>
                <w:p w14:paraId="623407CE" w14:textId="77777777" w:rsidR="00B24AA6" w:rsidRPr="00926962" w:rsidRDefault="00B24AA6" w:rsidP="00B24AA6">
                  <w:pPr>
                    <w:rPr>
                      <w:rFonts w:ascii="Calibri" w:hAnsi="Calibri" w:cs="Calibri"/>
                      <w:color w:val="30735F"/>
                      <w:sz w:val="24"/>
                      <w:szCs w:val="24"/>
                    </w:rPr>
                  </w:pPr>
                </w:p>
              </w:tc>
            </w:tr>
          </w:tbl>
          <w:p w14:paraId="0F5A7DE2" w14:textId="635E1FB1" w:rsidR="00B24AA6" w:rsidRPr="00926962" w:rsidRDefault="00B24AA6" w:rsidP="00B24AA6">
            <w:pPr>
              <w:rPr>
                <w:rFonts w:ascii="Calibri" w:eastAsia="Times New Roman" w:hAnsi="Calibri" w:cs="Calibri"/>
                <w:sz w:val="24"/>
                <w:szCs w:val="24"/>
              </w:rPr>
            </w:pPr>
          </w:p>
        </w:tc>
      </w:tr>
    </w:tbl>
    <w:p w14:paraId="67103FF6" w14:textId="1218D727" w:rsidR="00926962" w:rsidRPr="00926962" w:rsidRDefault="00926962" w:rsidP="00926962">
      <w:p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b/>
          <w:bCs/>
          <w:kern w:val="0"/>
          <w:sz w:val="24"/>
          <w:szCs w:val="24"/>
          <w:shd w:val="clear" w:color="auto" w:fill="FFFFFF"/>
          <w14:ligatures w14:val="none"/>
        </w:rPr>
        <w:lastRenderedPageBreak/>
        <w:t>The ideal candidate possesses:</w:t>
      </w:r>
    </w:p>
    <w:p w14:paraId="7572B9C0" w14:textId="77777777" w:rsidR="00926962" w:rsidRPr="00926962" w:rsidRDefault="00926962" w:rsidP="00926962">
      <w:pPr>
        <w:numPr>
          <w:ilvl w:val="0"/>
          <w:numId w:val="3"/>
        </w:num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kern w:val="0"/>
          <w:sz w:val="24"/>
          <w:szCs w:val="24"/>
          <w:shd w:val="clear" w:color="auto" w:fill="FFFFFF"/>
          <w14:ligatures w14:val="none"/>
        </w:rPr>
        <w:t>Team spirit, promoting collaboration within the group</w:t>
      </w:r>
    </w:p>
    <w:p w14:paraId="4D4CDE7B" w14:textId="77777777" w:rsidR="00926962" w:rsidRPr="00926962" w:rsidRDefault="00926962" w:rsidP="00926962">
      <w:pPr>
        <w:numPr>
          <w:ilvl w:val="0"/>
          <w:numId w:val="3"/>
        </w:num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kern w:val="0"/>
          <w:sz w:val="24"/>
          <w:szCs w:val="24"/>
          <w:shd w:val="clear" w:color="auto" w:fill="FFFFFF"/>
          <w14:ligatures w14:val="none"/>
        </w:rPr>
        <w:t>Ability to quickly understand business issues, develop, and implement solutions</w:t>
      </w:r>
    </w:p>
    <w:p w14:paraId="18FFE589" w14:textId="77777777" w:rsidR="00926962" w:rsidRPr="00926962" w:rsidRDefault="00926962" w:rsidP="00926962">
      <w:pPr>
        <w:numPr>
          <w:ilvl w:val="0"/>
          <w:numId w:val="3"/>
        </w:num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kern w:val="0"/>
          <w:sz w:val="24"/>
          <w:szCs w:val="24"/>
          <w:shd w:val="clear" w:color="auto" w:fill="FFFFFF"/>
          <w14:ligatures w14:val="none"/>
        </w:rPr>
        <w:t>Strong influencing and negotiating skills</w:t>
      </w:r>
    </w:p>
    <w:p w14:paraId="2C156BDF" w14:textId="77777777" w:rsidR="00926962" w:rsidRPr="00926962" w:rsidRDefault="00926962" w:rsidP="00926962">
      <w:pPr>
        <w:numPr>
          <w:ilvl w:val="0"/>
          <w:numId w:val="3"/>
        </w:num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kern w:val="0"/>
          <w:sz w:val="24"/>
          <w:szCs w:val="24"/>
          <w:shd w:val="clear" w:color="auto" w:fill="FFFFFF"/>
          <w14:ligatures w14:val="none"/>
        </w:rPr>
        <w:t>Excellent leadership abilities, with the capacity to motivate and mobilize a team</w:t>
      </w:r>
    </w:p>
    <w:p w14:paraId="4CD81F34" w14:textId="77777777" w:rsidR="00926962" w:rsidRPr="00926962" w:rsidRDefault="00926962" w:rsidP="00926962">
      <w:pPr>
        <w:numPr>
          <w:ilvl w:val="0"/>
          <w:numId w:val="3"/>
        </w:num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kern w:val="0"/>
          <w:sz w:val="24"/>
          <w:szCs w:val="24"/>
          <w:shd w:val="clear" w:color="auto" w:fill="FFFFFF"/>
          <w14:ligatures w14:val="none"/>
        </w:rPr>
        <w:t>Skills in communication, analysis, and interpersonal relations</w:t>
      </w:r>
    </w:p>
    <w:p w14:paraId="1A31FBE3" w14:textId="77777777" w:rsidR="00926962" w:rsidRDefault="00926962" w:rsidP="00926962">
      <w:pPr>
        <w:numPr>
          <w:ilvl w:val="0"/>
          <w:numId w:val="3"/>
        </w:numPr>
        <w:spacing w:before="100" w:beforeAutospacing="1" w:after="100" w:afterAutospacing="1"/>
        <w:rPr>
          <w:rFonts w:ascii="Calibri" w:eastAsia="Times New Roman" w:hAnsi="Calibri" w:cs="Calibri"/>
          <w:kern w:val="0"/>
          <w:sz w:val="24"/>
          <w:szCs w:val="24"/>
          <w:shd w:val="clear" w:color="auto" w:fill="FFFFFF"/>
          <w14:ligatures w14:val="none"/>
        </w:rPr>
      </w:pPr>
      <w:r w:rsidRPr="00926962">
        <w:rPr>
          <w:rFonts w:ascii="Calibri" w:eastAsia="Times New Roman" w:hAnsi="Calibri" w:cs="Calibri"/>
          <w:kern w:val="0"/>
          <w:sz w:val="24"/>
          <w:szCs w:val="24"/>
          <w:shd w:val="clear" w:color="auto" w:fill="FFFFFF"/>
          <w14:ligatures w14:val="none"/>
        </w:rPr>
        <w:t>Ability to organize and prioritize work to meet deadlines and manage multiple projects</w:t>
      </w:r>
    </w:p>
    <w:tbl>
      <w:tblPr>
        <w:tblW w:w="10375" w:type="dxa"/>
        <w:jc w:val="center"/>
        <w:tblBorders>
          <w:top w:val="single" w:sz="24" w:space="0" w:color="FFFFFF"/>
          <w:left w:val="single" w:sz="24" w:space="0" w:color="FFFFFF"/>
          <w:right w:val="single" w:sz="24" w:space="0" w:color="FFFFFF"/>
          <w:insideH w:val="single" w:sz="24" w:space="0" w:color="FFFFFF"/>
          <w:insideV w:val="single" w:sz="24" w:space="0" w:color="FFFFFF"/>
        </w:tblBorders>
        <w:tblLayout w:type="fixed"/>
        <w:tblCellMar>
          <w:top w:w="115" w:type="dxa"/>
          <w:left w:w="115" w:type="dxa"/>
          <w:bottom w:w="115" w:type="dxa"/>
          <w:right w:w="115" w:type="dxa"/>
        </w:tblCellMar>
        <w:tblLook w:val="04A0" w:firstRow="1" w:lastRow="0" w:firstColumn="1" w:lastColumn="0" w:noHBand="0" w:noVBand="1"/>
      </w:tblPr>
      <w:tblGrid>
        <w:gridCol w:w="145"/>
        <w:gridCol w:w="2940"/>
        <w:gridCol w:w="3582"/>
        <w:gridCol w:w="3708"/>
      </w:tblGrid>
      <w:tr w:rsidR="00926962" w:rsidRPr="00F51DA7" w14:paraId="4A6BE17A" w14:textId="77777777" w:rsidTr="00926962">
        <w:trPr>
          <w:trHeight w:val="284"/>
          <w:jc w:val="center"/>
        </w:trPr>
        <w:tc>
          <w:tcPr>
            <w:tcW w:w="3085" w:type="dxa"/>
            <w:gridSpan w:val="2"/>
            <w:tcBorders>
              <w:bottom w:val="single" w:sz="24" w:space="0" w:color="FFFFFF"/>
            </w:tcBorders>
            <w:shd w:val="clear" w:color="auto" w:fill="0F4761" w:themeFill="accent1" w:themeFillShade="BF"/>
            <w:vAlign w:val="center"/>
          </w:tcPr>
          <w:p w14:paraId="3D40D798" w14:textId="77777777" w:rsidR="00926962" w:rsidRPr="00F51DA7" w:rsidRDefault="00926962" w:rsidP="00657362">
            <w:pPr>
              <w:spacing w:after="120"/>
              <w:rPr>
                <w:rFonts w:ascii="Arial" w:hAnsi="Arial"/>
                <w:b/>
                <w:bCs/>
                <w:color w:val="FFFFFF" w:themeColor="background1"/>
              </w:rPr>
            </w:pPr>
            <w:r w:rsidRPr="00F51DA7">
              <w:rPr>
                <w:rFonts w:ascii="Arial" w:hAnsi="Arial"/>
                <w:b/>
                <w:bCs/>
                <w:color w:val="FFFFFF" w:themeColor="background1"/>
              </w:rPr>
              <w:t>Qualifications</w:t>
            </w:r>
          </w:p>
        </w:tc>
        <w:tc>
          <w:tcPr>
            <w:tcW w:w="3582" w:type="dxa"/>
            <w:tcBorders>
              <w:bottom w:val="single" w:sz="24" w:space="0" w:color="FFFFFF"/>
            </w:tcBorders>
            <w:shd w:val="clear" w:color="auto" w:fill="0F4761" w:themeFill="accent1" w:themeFillShade="BF"/>
            <w:vAlign w:val="center"/>
          </w:tcPr>
          <w:p w14:paraId="7B9BA4FA" w14:textId="77777777" w:rsidR="00926962" w:rsidRPr="00F51DA7" w:rsidRDefault="00926962" w:rsidP="00657362">
            <w:pPr>
              <w:spacing w:after="120"/>
              <w:rPr>
                <w:rFonts w:ascii="Arial" w:hAnsi="Arial"/>
                <w:b/>
                <w:bCs/>
                <w:color w:val="FFFFFF" w:themeColor="background1"/>
              </w:rPr>
            </w:pPr>
            <w:r w:rsidRPr="00F51DA7">
              <w:rPr>
                <w:rFonts w:ascii="Arial" w:hAnsi="Arial"/>
                <w:b/>
                <w:bCs/>
                <w:color w:val="FFFFFF" w:themeColor="background1"/>
              </w:rPr>
              <w:t>Minimum</w:t>
            </w:r>
          </w:p>
        </w:tc>
        <w:tc>
          <w:tcPr>
            <w:tcW w:w="3708" w:type="dxa"/>
            <w:tcBorders>
              <w:bottom w:val="single" w:sz="24" w:space="0" w:color="FFFFFF"/>
            </w:tcBorders>
            <w:shd w:val="clear" w:color="auto" w:fill="0F4761" w:themeFill="accent1" w:themeFillShade="BF"/>
            <w:vAlign w:val="center"/>
          </w:tcPr>
          <w:p w14:paraId="1D1504F5" w14:textId="77777777" w:rsidR="00926962" w:rsidRPr="00F51DA7" w:rsidRDefault="00926962" w:rsidP="00657362">
            <w:pPr>
              <w:spacing w:after="120"/>
              <w:rPr>
                <w:rFonts w:ascii="Arial" w:hAnsi="Arial"/>
                <w:b/>
                <w:bCs/>
                <w:color w:val="FFFFFF" w:themeColor="background1"/>
              </w:rPr>
            </w:pPr>
            <w:r w:rsidRPr="00F51DA7">
              <w:rPr>
                <w:rFonts w:ascii="Arial" w:hAnsi="Arial"/>
                <w:b/>
                <w:bCs/>
                <w:color w:val="FFFFFF" w:themeColor="background1"/>
              </w:rPr>
              <w:t>Preferred</w:t>
            </w:r>
          </w:p>
        </w:tc>
      </w:tr>
      <w:tr w:rsidR="00926962" w:rsidRPr="00926962" w14:paraId="01122501" w14:textId="77777777" w:rsidTr="00926962">
        <w:trPr>
          <w:gridBefore w:val="1"/>
          <w:wBefore w:w="145" w:type="dxa"/>
          <w:trHeight w:val="893"/>
          <w:jc w:val="center"/>
        </w:trPr>
        <w:tc>
          <w:tcPr>
            <w:tcW w:w="2940" w:type="dxa"/>
            <w:tcBorders>
              <w:top w:val="single" w:sz="24" w:space="0" w:color="FFFFFF"/>
              <w:bottom w:val="single" w:sz="24" w:space="0" w:color="FFFFFF"/>
            </w:tcBorders>
            <w:shd w:val="clear" w:color="auto" w:fill="auto"/>
            <w:vAlign w:val="center"/>
          </w:tcPr>
          <w:p w14:paraId="23E1D9BC" w14:textId="77777777" w:rsidR="00926962" w:rsidRPr="00926962" w:rsidRDefault="00926962" w:rsidP="00926962">
            <w:pPr>
              <w:rPr>
                <w:rFonts w:ascii="Calibri" w:hAnsi="Calibri" w:cs="Calibri"/>
                <w:b/>
                <w:color w:val="0C3512" w:themeColor="accent3" w:themeShade="80"/>
                <w:sz w:val="24"/>
                <w:szCs w:val="24"/>
              </w:rPr>
            </w:pPr>
            <w:r w:rsidRPr="00926962">
              <w:rPr>
                <w:rFonts w:ascii="Calibri" w:hAnsi="Calibri" w:cs="Calibri"/>
                <w:b/>
                <w:color w:val="0C3512" w:themeColor="accent3" w:themeShade="80"/>
                <w:sz w:val="24"/>
                <w:szCs w:val="24"/>
              </w:rPr>
              <w:t>Education</w:t>
            </w:r>
          </w:p>
        </w:tc>
        <w:tc>
          <w:tcPr>
            <w:tcW w:w="3582" w:type="dxa"/>
            <w:tcBorders>
              <w:top w:val="single" w:sz="24" w:space="0" w:color="FFFFFF"/>
              <w:bottom w:val="single" w:sz="24" w:space="0" w:color="FFFFFF"/>
            </w:tcBorders>
            <w:shd w:val="clear" w:color="auto" w:fill="auto"/>
            <w:vAlign w:val="center"/>
          </w:tcPr>
          <w:p w14:paraId="2A6AD8D1" w14:textId="77777777" w:rsidR="00926962" w:rsidRPr="00926962" w:rsidRDefault="00926962" w:rsidP="00926962">
            <w:pPr>
              <w:rPr>
                <w:rFonts w:ascii="Calibri" w:eastAsia="Times New Roman" w:hAnsi="Calibri" w:cs="Calibri"/>
                <w:sz w:val="24"/>
                <w:szCs w:val="24"/>
                <w:lang w:val="en-CA"/>
              </w:rPr>
            </w:pPr>
            <w:r w:rsidRPr="00926962">
              <w:rPr>
                <w:rFonts w:ascii="Calibri" w:eastAsia="Times New Roman" w:hAnsi="Calibri" w:cs="Calibri"/>
                <w:sz w:val="24"/>
                <w:szCs w:val="24"/>
                <w:lang w:val="en-CA"/>
              </w:rPr>
              <w:t xml:space="preserve">University Education </w:t>
            </w:r>
          </w:p>
          <w:p w14:paraId="600C8365" w14:textId="77777777" w:rsidR="00926962" w:rsidRPr="00926962" w:rsidRDefault="00926962" w:rsidP="00657362">
            <w:pPr>
              <w:pStyle w:val="ListParagraph"/>
              <w:rPr>
                <w:rFonts w:ascii="Calibri" w:eastAsia="Times New Roman" w:hAnsi="Calibri" w:cs="Calibri"/>
                <w:sz w:val="24"/>
                <w:szCs w:val="24"/>
                <w:lang w:val="en-CA"/>
              </w:rPr>
            </w:pPr>
          </w:p>
        </w:tc>
        <w:tc>
          <w:tcPr>
            <w:tcW w:w="3708" w:type="dxa"/>
            <w:tcBorders>
              <w:top w:val="single" w:sz="24" w:space="0" w:color="FFFFFF"/>
              <w:bottom w:val="single" w:sz="24" w:space="0" w:color="FFFFFF"/>
            </w:tcBorders>
            <w:shd w:val="clear" w:color="auto" w:fill="auto"/>
            <w:vAlign w:val="center"/>
          </w:tcPr>
          <w:p w14:paraId="5B199FBE" w14:textId="77777777" w:rsidR="00926962" w:rsidRPr="00926962" w:rsidRDefault="00926962" w:rsidP="00926962">
            <w:pPr>
              <w:rPr>
                <w:rFonts w:ascii="Calibri" w:eastAsia="Times New Roman" w:hAnsi="Calibri" w:cs="Calibri"/>
                <w:sz w:val="24"/>
                <w:szCs w:val="24"/>
                <w:lang w:val="en-CA"/>
              </w:rPr>
            </w:pPr>
            <w:r w:rsidRPr="00926962">
              <w:rPr>
                <w:rFonts w:ascii="Calibri" w:eastAsia="Times New Roman" w:hAnsi="Calibri" w:cs="Calibri"/>
                <w:sz w:val="24"/>
                <w:szCs w:val="24"/>
                <w:lang w:val="en-CA"/>
              </w:rPr>
              <w:t>University Business Degree with Supply Chain designation</w:t>
            </w:r>
          </w:p>
        </w:tc>
      </w:tr>
      <w:tr w:rsidR="00926962" w:rsidRPr="00926962" w14:paraId="5C47C808" w14:textId="77777777" w:rsidTr="00926962">
        <w:trPr>
          <w:gridBefore w:val="1"/>
          <w:wBefore w:w="145" w:type="dxa"/>
          <w:trHeight w:val="893"/>
          <w:jc w:val="center"/>
        </w:trPr>
        <w:tc>
          <w:tcPr>
            <w:tcW w:w="2940" w:type="dxa"/>
            <w:shd w:val="clear" w:color="auto" w:fill="auto"/>
            <w:vAlign w:val="center"/>
          </w:tcPr>
          <w:p w14:paraId="302236D6" w14:textId="77777777" w:rsidR="00926962" w:rsidRPr="00926962" w:rsidRDefault="00926962" w:rsidP="00657362">
            <w:pPr>
              <w:rPr>
                <w:rFonts w:ascii="Calibri" w:hAnsi="Calibri" w:cs="Calibri"/>
                <w:b/>
                <w:color w:val="0C3512" w:themeColor="accent3" w:themeShade="80"/>
                <w:sz w:val="24"/>
                <w:szCs w:val="24"/>
              </w:rPr>
            </w:pPr>
            <w:r w:rsidRPr="00926962">
              <w:rPr>
                <w:rFonts w:ascii="Calibri" w:hAnsi="Calibri" w:cs="Calibri"/>
                <w:b/>
                <w:color w:val="0C3512" w:themeColor="accent3" w:themeShade="80"/>
                <w:sz w:val="24"/>
                <w:szCs w:val="24"/>
              </w:rPr>
              <w:t>Experience</w:t>
            </w:r>
          </w:p>
        </w:tc>
        <w:tc>
          <w:tcPr>
            <w:tcW w:w="3582" w:type="dxa"/>
            <w:shd w:val="clear" w:color="auto" w:fill="auto"/>
            <w:vAlign w:val="center"/>
          </w:tcPr>
          <w:p w14:paraId="2B9E6E4F" w14:textId="77777777" w:rsidR="00926962" w:rsidRPr="00926962" w:rsidRDefault="00926962" w:rsidP="00926962">
            <w:pPr>
              <w:rPr>
                <w:rFonts w:ascii="Calibri" w:hAnsi="Calibri" w:cs="Calibri"/>
                <w:sz w:val="24"/>
                <w:szCs w:val="24"/>
              </w:rPr>
            </w:pPr>
            <w:r w:rsidRPr="00926962">
              <w:rPr>
                <w:rFonts w:ascii="Calibri" w:hAnsi="Calibri" w:cs="Calibri"/>
                <w:sz w:val="24"/>
                <w:szCs w:val="24"/>
              </w:rPr>
              <w:t>10 years in Manufacturing and progressive purchasing roles</w:t>
            </w:r>
          </w:p>
          <w:p w14:paraId="77FAA560" w14:textId="77777777" w:rsidR="00926962" w:rsidRPr="00926962" w:rsidRDefault="00926962" w:rsidP="00657362">
            <w:pPr>
              <w:pStyle w:val="ListParagraph"/>
              <w:rPr>
                <w:rFonts w:ascii="Calibri" w:hAnsi="Calibri" w:cs="Calibri"/>
                <w:sz w:val="24"/>
                <w:szCs w:val="24"/>
              </w:rPr>
            </w:pPr>
          </w:p>
        </w:tc>
        <w:tc>
          <w:tcPr>
            <w:tcW w:w="3708" w:type="dxa"/>
            <w:shd w:val="clear" w:color="auto" w:fill="auto"/>
            <w:vAlign w:val="center"/>
          </w:tcPr>
          <w:p w14:paraId="65A73FCF" w14:textId="49A41737" w:rsidR="00926962" w:rsidRPr="00926962" w:rsidRDefault="00926962" w:rsidP="00926962">
            <w:pPr>
              <w:rPr>
                <w:rFonts w:ascii="Calibri" w:hAnsi="Calibri" w:cs="Calibri"/>
                <w:sz w:val="24"/>
                <w:szCs w:val="24"/>
              </w:rPr>
            </w:pPr>
            <w:r w:rsidRPr="00926962">
              <w:rPr>
                <w:rFonts w:ascii="Calibri" w:hAnsi="Calibri" w:cs="Calibri"/>
                <w:sz w:val="24"/>
                <w:szCs w:val="24"/>
              </w:rPr>
              <w:t>10 years in Manufacturing, Supply Chain Leadership role and  leading at a Corporate Level, focus on Purchasing and Logistics</w:t>
            </w:r>
          </w:p>
        </w:tc>
      </w:tr>
      <w:tr w:rsidR="00926962" w:rsidRPr="00926962" w14:paraId="0B0AD8C8" w14:textId="77777777" w:rsidTr="00926962">
        <w:trPr>
          <w:gridBefore w:val="1"/>
          <w:wBefore w:w="145" w:type="dxa"/>
          <w:trHeight w:val="893"/>
          <w:jc w:val="center"/>
        </w:trPr>
        <w:tc>
          <w:tcPr>
            <w:tcW w:w="2940" w:type="dxa"/>
            <w:shd w:val="clear" w:color="auto" w:fill="auto"/>
            <w:vAlign w:val="center"/>
          </w:tcPr>
          <w:p w14:paraId="48D1C0F5" w14:textId="77777777" w:rsidR="00926962" w:rsidRPr="00926962" w:rsidRDefault="00926962" w:rsidP="00657362">
            <w:pPr>
              <w:rPr>
                <w:rFonts w:ascii="Calibri" w:hAnsi="Calibri" w:cs="Calibri"/>
                <w:b/>
                <w:color w:val="0C3512" w:themeColor="accent3" w:themeShade="80"/>
                <w:sz w:val="24"/>
                <w:szCs w:val="24"/>
              </w:rPr>
            </w:pPr>
            <w:r w:rsidRPr="00926962">
              <w:rPr>
                <w:rFonts w:ascii="Calibri" w:hAnsi="Calibri" w:cs="Calibri"/>
                <w:b/>
                <w:color w:val="0C3512" w:themeColor="accent3" w:themeShade="80"/>
                <w:sz w:val="24"/>
                <w:szCs w:val="24"/>
              </w:rPr>
              <w:t>Certifications / Designations</w:t>
            </w:r>
          </w:p>
        </w:tc>
        <w:tc>
          <w:tcPr>
            <w:tcW w:w="3582" w:type="dxa"/>
            <w:shd w:val="clear" w:color="auto" w:fill="auto"/>
            <w:vAlign w:val="center"/>
          </w:tcPr>
          <w:p w14:paraId="31E45FFB" w14:textId="77777777" w:rsidR="00926962" w:rsidRPr="00926962" w:rsidRDefault="00926962" w:rsidP="00657362">
            <w:pPr>
              <w:pStyle w:val="ListParagraph"/>
              <w:rPr>
                <w:rFonts w:ascii="Calibri" w:eastAsia="Times New Roman" w:hAnsi="Calibri" w:cs="Calibri"/>
                <w:sz w:val="24"/>
                <w:szCs w:val="24"/>
                <w:lang w:val="en-CA"/>
              </w:rPr>
            </w:pPr>
          </w:p>
          <w:p w14:paraId="2142E605" w14:textId="77777777" w:rsidR="00926962" w:rsidRPr="00926962" w:rsidRDefault="00926962" w:rsidP="00657362">
            <w:pPr>
              <w:pStyle w:val="ListParagraph"/>
              <w:rPr>
                <w:rFonts w:ascii="Calibri" w:eastAsia="Times New Roman" w:hAnsi="Calibri" w:cs="Calibri"/>
                <w:sz w:val="24"/>
                <w:szCs w:val="24"/>
                <w:lang w:val="en-CA"/>
              </w:rPr>
            </w:pPr>
          </w:p>
        </w:tc>
        <w:tc>
          <w:tcPr>
            <w:tcW w:w="3708" w:type="dxa"/>
            <w:shd w:val="clear" w:color="auto" w:fill="auto"/>
            <w:vAlign w:val="center"/>
          </w:tcPr>
          <w:p w14:paraId="1E7F0C62" w14:textId="77777777" w:rsidR="00926962" w:rsidRPr="00926962" w:rsidRDefault="00926962" w:rsidP="00926962">
            <w:pPr>
              <w:rPr>
                <w:rFonts w:ascii="Calibri" w:eastAsia="Times New Roman" w:hAnsi="Calibri" w:cs="Calibri"/>
                <w:sz w:val="24"/>
                <w:szCs w:val="24"/>
                <w:lang w:val="en-CA"/>
              </w:rPr>
            </w:pPr>
            <w:r w:rsidRPr="00926962">
              <w:rPr>
                <w:rFonts w:ascii="Calibri" w:eastAsia="Times New Roman" w:hAnsi="Calibri" w:cs="Calibri"/>
                <w:sz w:val="24"/>
                <w:szCs w:val="24"/>
                <w:lang w:val="en-CA"/>
              </w:rPr>
              <w:t>SCMP (Supply Chain Management Professional)</w:t>
            </w:r>
          </w:p>
        </w:tc>
      </w:tr>
      <w:tr w:rsidR="00926962" w:rsidRPr="00926962" w14:paraId="24FBE998" w14:textId="77777777" w:rsidTr="00926962">
        <w:trPr>
          <w:gridBefore w:val="1"/>
          <w:wBefore w:w="145" w:type="dxa"/>
          <w:trHeight w:val="851"/>
          <w:jc w:val="center"/>
        </w:trPr>
        <w:tc>
          <w:tcPr>
            <w:tcW w:w="2940" w:type="dxa"/>
            <w:shd w:val="clear" w:color="auto" w:fill="auto"/>
            <w:vAlign w:val="center"/>
          </w:tcPr>
          <w:p w14:paraId="3A2B2794" w14:textId="77777777" w:rsidR="00926962" w:rsidRPr="00926962" w:rsidRDefault="00926962" w:rsidP="00657362">
            <w:pPr>
              <w:rPr>
                <w:rFonts w:ascii="Calibri" w:hAnsi="Calibri" w:cs="Calibri"/>
                <w:b/>
                <w:color w:val="0C3512" w:themeColor="accent3" w:themeShade="80"/>
                <w:sz w:val="24"/>
                <w:szCs w:val="24"/>
              </w:rPr>
            </w:pPr>
            <w:r w:rsidRPr="00926962">
              <w:rPr>
                <w:rFonts w:ascii="Calibri" w:hAnsi="Calibri" w:cs="Calibri"/>
                <w:b/>
                <w:color w:val="0C3512" w:themeColor="accent3" w:themeShade="80"/>
                <w:sz w:val="24"/>
                <w:szCs w:val="24"/>
              </w:rPr>
              <w:lastRenderedPageBreak/>
              <w:t>Job-Specific Knowledge and Skills</w:t>
            </w:r>
          </w:p>
        </w:tc>
        <w:tc>
          <w:tcPr>
            <w:tcW w:w="7290" w:type="dxa"/>
            <w:gridSpan w:val="2"/>
            <w:shd w:val="clear" w:color="auto" w:fill="auto"/>
            <w:vAlign w:val="center"/>
          </w:tcPr>
          <w:p w14:paraId="249A3814" w14:textId="371B85B4" w:rsidR="00926962" w:rsidRPr="00926962" w:rsidRDefault="00926962" w:rsidP="00657362">
            <w:pPr>
              <w:pStyle w:val="ListParagraph"/>
              <w:rPr>
                <w:rFonts w:ascii="Calibri" w:hAnsi="Calibri" w:cs="Calibri"/>
                <w:sz w:val="24"/>
                <w:szCs w:val="24"/>
              </w:rPr>
            </w:pPr>
            <w:r w:rsidRPr="00926962">
              <w:rPr>
                <w:rFonts w:ascii="Calibri" w:hAnsi="Calibri" w:cs="Calibri"/>
                <w:sz w:val="24"/>
                <w:szCs w:val="24"/>
              </w:rPr>
              <w:t xml:space="preserve">Strategic sourcing, Contract Negotiation, Purchasing in the MRO/indirect/capex categories, Process Optimization, Project Leadership, Analytical, Category Management , leading corporate Synergy buying  .  </w:t>
            </w:r>
          </w:p>
          <w:p w14:paraId="4B660C8A" w14:textId="77777777" w:rsidR="00926962" w:rsidRPr="00926962" w:rsidRDefault="00926962" w:rsidP="00657362">
            <w:pPr>
              <w:pStyle w:val="ListParagraph"/>
              <w:rPr>
                <w:rFonts w:ascii="Calibri" w:hAnsi="Calibri" w:cs="Calibri"/>
                <w:sz w:val="24"/>
                <w:szCs w:val="24"/>
              </w:rPr>
            </w:pPr>
          </w:p>
        </w:tc>
      </w:tr>
    </w:tbl>
    <w:p w14:paraId="6F3D2F6D" w14:textId="77777777" w:rsidR="00926962" w:rsidRPr="00926962" w:rsidRDefault="00926962" w:rsidP="00926962">
      <w:pPr>
        <w:pStyle w:val="ListParagraph"/>
        <w:spacing w:before="120" w:after="120"/>
        <w:ind w:left="360"/>
        <w:rPr>
          <w:rFonts w:ascii="Calibri" w:hAnsi="Calibri" w:cs="Calibri"/>
          <w:b/>
          <w:color w:val="0E2841" w:themeColor="text2"/>
          <w:sz w:val="24"/>
          <w:szCs w:val="24"/>
        </w:rPr>
      </w:pPr>
    </w:p>
    <w:p w14:paraId="37C2CF32" w14:textId="77777777" w:rsidR="00D85D9C" w:rsidRPr="00D85D9C" w:rsidRDefault="00D85D9C" w:rsidP="00D85D9C">
      <w:pPr>
        <w:spacing w:after="0"/>
        <w:contextualSpacing/>
        <w:rPr>
          <w:rFonts w:ascii="Calibri" w:eastAsia="+mn-ea" w:hAnsi="Calibri" w:cs="Calibri"/>
          <w:b/>
          <w:bCs/>
          <w:color w:val="000000"/>
          <w:kern w:val="24"/>
          <w:sz w:val="24"/>
          <w:szCs w:val="24"/>
          <w14:ligatures w14:val="none"/>
        </w:rPr>
      </w:pPr>
      <w:r w:rsidRPr="00D85D9C">
        <w:rPr>
          <w:rFonts w:ascii="Calibri" w:eastAsia="+mn-ea" w:hAnsi="Calibri" w:cs="Calibri"/>
          <w:b/>
          <w:bCs/>
          <w:color w:val="000000"/>
          <w:kern w:val="24"/>
          <w:sz w:val="24"/>
          <w:szCs w:val="24"/>
          <w14:ligatures w14:val="none"/>
        </w:rPr>
        <w:t xml:space="preserve">Please send resume and interest to:  Teresa Senisi, Director, Human Resources – </w:t>
      </w:r>
      <w:hyperlink r:id="rId10" w:history="1">
        <w:r w:rsidRPr="00D85D9C">
          <w:rPr>
            <w:rStyle w:val="Hyperlink"/>
            <w:rFonts w:ascii="Calibri" w:eastAsia="+mn-ea" w:hAnsi="Calibri" w:cs="Calibri"/>
            <w:b/>
            <w:bCs/>
            <w:kern w:val="24"/>
            <w:sz w:val="24"/>
            <w:szCs w:val="24"/>
            <w14:ligatures w14:val="none"/>
          </w:rPr>
          <w:t>tsenisi@triplemmetal.com</w:t>
        </w:r>
      </w:hyperlink>
    </w:p>
    <w:p w14:paraId="58BC294C" w14:textId="77777777" w:rsidR="008F4353" w:rsidRPr="00926962" w:rsidRDefault="008F4353">
      <w:pPr>
        <w:rPr>
          <w:rFonts w:ascii="Calibri" w:hAnsi="Calibri" w:cs="Calibri"/>
          <w:color w:val="000000"/>
          <w:sz w:val="24"/>
          <w:szCs w:val="24"/>
        </w:rPr>
      </w:pPr>
    </w:p>
    <w:p w14:paraId="3934E4DD" w14:textId="77777777" w:rsidR="008F4353" w:rsidRPr="00926962" w:rsidRDefault="008F4353">
      <w:pPr>
        <w:rPr>
          <w:rFonts w:ascii="Calibri" w:hAnsi="Calibri" w:cs="Calibri"/>
          <w:sz w:val="24"/>
          <w:szCs w:val="24"/>
        </w:rPr>
      </w:pPr>
    </w:p>
    <w:sectPr w:rsidR="008F4353" w:rsidRPr="0092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24075"/>
    <w:multiLevelType w:val="multilevel"/>
    <w:tmpl w:val="1688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270AD4"/>
    <w:multiLevelType w:val="hybridMultilevel"/>
    <w:tmpl w:val="8412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85678"/>
    <w:multiLevelType w:val="hybridMultilevel"/>
    <w:tmpl w:val="094AA7D6"/>
    <w:lvl w:ilvl="0" w:tplc="6CE06DA0">
      <w:start w:val="1"/>
      <w:numFmt w:val="bullet"/>
      <w:lvlText w:val="•"/>
      <w:lvlJc w:val="left"/>
      <w:pPr>
        <w:tabs>
          <w:tab w:val="num" w:pos="720"/>
        </w:tabs>
        <w:ind w:left="720" w:hanging="360"/>
      </w:pPr>
      <w:rPr>
        <w:rFonts w:ascii="Arial" w:hAnsi="Arial" w:hint="default"/>
      </w:rPr>
    </w:lvl>
    <w:lvl w:ilvl="1" w:tplc="36C813B8" w:tentative="1">
      <w:start w:val="1"/>
      <w:numFmt w:val="bullet"/>
      <w:lvlText w:val="•"/>
      <w:lvlJc w:val="left"/>
      <w:pPr>
        <w:tabs>
          <w:tab w:val="num" w:pos="1440"/>
        </w:tabs>
        <w:ind w:left="1440" w:hanging="360"/>
      </w:pPr>
      <w:rPr>
        <w:rFonts w:ascii="Arial" w:hAnsi="Arial" w:hint="default"/>
      </w:rPr>
    </w:lvl>
    <w:lvl w:ilvl="2" w:tplc="CD6AF9E4" w:tentative="1">
      <w:start w:val="1"/>
      <w:numFmt w:val="bullet"/>
      <w:lvlText w:val="•"/>
      <w:lvlJc w:val="left"/>
      <w:pPr>
        <w:tabs>
          <w:tab w:val="num" w:pos="2160"/>
        </w:tabs>
        <w:ind w:left="2160" w:hanging="360"/>
      </w:pPr>
      <w:rPr>
        <w:rFonts w:ascii="Arial" w:hAnsi="Arial" w:hint="default"/>
      </w:rPr>
    </w:lvl>
    <w:lvl w:ilvl="3" w:tplc="4DCE4412" w:tentative="1">
      <w:start w:val="1"/>
      <w:numFmt w:val="bullet"/>
      <w:lvlText w:val="•"/>
      <w:lvlJc w:val="left"/>
      <w:pPr>
        <w:tabs>
          <w:tab w:val="num" w:pos="2880"/>
        </w:tabs>
        <w:ind w:left="2880" w:hanging="360"/>
      </w:pPr>
      <w:rPr>
        <w:rFonts w:ascii="Arial" w:hAnsi="Arial" w:hint="default"/>
      </w:rPr>
    </w:lvl>
    <w:lvl w:ilvl="4" w:tplc="FA7AA34C" w:tentative="1">
      <w:start w:val="1"/>
      <w:numFmt w:val="bullet"/>
      <w:lvlText w:val="•"/>
      <w:lvlJc w:val="left"/>
      <w:pPr>
        <w:tabs>
          <w:tab w:val="num" w:pos="3600"/>
        </w:tabs>
        <w:ind w:left="3600" w:hanging="360"/>
      </w:pPr>
      <w:rPr>
        <w:rFonts w:ascii="Arial" w:hAnsi="Arial" w:hint="default"/>
      </w:rPr>
    </w:lvl>
    <w:lvl w:ilvl="5" w:tplc="3F783C12" w:tentative="1">
      <w:start w:val="1"/>
      <w:numFmt w:val="bullet"/>
      <w:lvlText w:val="•"/>
      <w:lvlJc w:val="left"/>
      <w:pPr>
        <w:tabs>
          <w:tab w:val="num" w:pos="4320"/>
        </w:tabs>
        <w:ind w:left="4320" w:hanging="360"/>
      </w:pPr>
      <w:rPr>
        <w:rFonts w:ascii="Arial" w:hAnsi="Arial" w:hint="default"/>
      </w:rPr>
    </w:lvl>
    <w:lvl w:ilvl="6" w:tplc="DE2CEA00" w:tentative="1">
      <w:start w:val="1"/>
      <w:numFmt w:val="bullet"/>
      <w:lvlText w:val="•"/>
      <w:lvlJc w:val="left"/>
      <w:pPr>
        <w:tabs>
          <w:tab w:val="num" w:pos="5040"/>
        </w:tabs>
        <w:ind w:left="5040" w:hanging="360"/>
      </w:pPr>
      <w:rPr>
        <w:rFonts w:ascii="Arial" w:hAnsi="Arial" w:hint="default"/>
      </w:rPr>
    </w:lvl>
    <w:lvl w:ilvl="7" w:tplc="B07AC184" w:tentative="1">
      <w:start w:val="1"/>
      <w:numFmt w:val="bullet"/>
      <w:lvlText w:val="•"/>
      <w:lvlJc w:val="left"/>
      <w:pPr>
        <w:tabs>
          <w:tab w:val="num" w:pos="5760"/>
        </w:tabs>
        <w:ind w:left="5760" w:hanging="360"/>
      </w:pPr>
      <w:rPr>
        <w:rFonts w:ascii="Arial" w:hAnsi="Arial" w:hint="default"/>
      </w:rPr>
    </w:lvl>
    <w:lvl w:ilvl="8" w:tplc="700E4D04" w:tentative="1">
      <w:start w:val="1"/>
      <w:numFmt w:val="bullet"/>
      <w:lvlText w:val="•"/>
      <w:lvlJc w:val="left"/>
      <w:pPr>
        <w:tabs>
          <w:tab w:val="num" w:pos="6480"/>
        </w:tabs>
        <w:ind w:left="6480" w:hanging="360"/>
      </w:pPr>
      <w:rPr>
        <w:rFonts w:ascii="Arial" w:hAnsi="Arial" w:hint="default"/>
      </w:rPr>
    </w:lvl>
  </w:abstractNum>
  <w:num w:numId="1" w16cid:durableId="1582331704">
    <w:abstractNumId w:val="1"/>
  </w:num>
  <w:num w:numId="2" w16cid:durableId="2105765136">
    <w:abstractNumId w:val="2"/>
  </w:num>
  <w:num w:numId="3" w16cid:durableId="57967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53"/>
    <w:rsid w:val="003A078B"/>
    <w:rsid w:val="005407C5"/>
    <w:rsid w:val="008F4353"/>
    <w:rsid w:val="00926962"/>
    <w:rsid w:val="00A80CD2"/>
    <w:rsid w:val="00B24AA6"/>
    <w:rsid w:val="00B465D8"/>
    <w:rsid w:val="00CE3E88"/>
    <w:rsid w:val="00D3644B"/>
    <w:rsid w:val="00D85D9C"/>
    <w:rsid w:val="00EB3FA7"/>
    <w:rsid w:val="00F21122"/>
    <w:rsid w:val="00F3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95A0"/>
  <w15:chartTrackingRefBased/>
  <w15:docId w15:val="{C22D841B-C49D-414C-961A-44C00D7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353"/>
    <w:rPr>
      <w:rFonts w:eastAsiaTheme="majorEastAsia" w:cstheme="majorBidi"/>
      <w:color w:val="272727" w:themeColor="text1" w:themeTint="D8"/>
    </w:rPr>
  </w:style>
  <w:style w:type="paragraph" w:styleId="Title">
    <w:name w:val="Title"/>
    <w:basedOn w:val="Normal"/>
    <w:next w:val="Normal"/>
    <w:link w:val="TitleChar"/>
    <w:uiPriority w:val="10"/>
    <w:qFormat/>
    <w:rsid w:val="008F43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3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3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4353"/>
    <w:rPr>
      <w:i/>
      <w:iCs/>
      <w:color w:val="404040" w:themeColor="text1" w:themeTint="BF"/>
    </w:rPr>
  </w:style>
  <w:style w:type="paragraph" w:styleId="ListParagraph">
    <w:name w:val="List Paragraph"/>
    <w:basedOn w:val="Normal"/>
    <w:uiPriority w:val="34"/>
    <w:qFormat/>
    <w:rsid w:val="008F4353"/>
    <w:pPr>
      <w:ind w:left="720"/>
      <w:contextualSpacing/>
    </w:pPr>
  </w:style>
  <w:style w:type="character" w:styleId="IntenseEmphasis">
    <w:name w:val="Intense Emphasis"/>
    <w:basedOn w:val="DefaultParagraphFont"/>
    <w:uiPriority w:val="21"/>
    <w:qFormat/>
    <w:rsid w:val="008F4353"/>
    <w:rPr>
      <w:i/>
      <w:iCs/>
      <w:color w:val="0F4761" w:themeColor="accent1" w:themeShade="BF"/>
    </w:rPr>
  </w:style>
  <w:style w:type="paragraph" w:styleId="IntenseQuote">
    <w:name w:val="Intense Quote"/>
    <w:basedOn w:val="Normal"/>
    <w:next w:val="Normal"/>
    <w:link w:val="IntenseQuoteChar"/>
    <w:uiPriority w:val="30"/>
    <w:qFormat/>
    <w:rsid w:val="008F4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353"/>
    <w:rPr>
      <w:i/>
      <w:iCs/>
      <w:color w:val="0F4761" w:themeColor="accent1" w:themeShade="BF"/>
    </w:rPr>
  </w:style>
  <w:style w:type="character" w:styleId="IntenseReference">
    <w:name w:val="Intense Reference"/>
    <w:basedOn w:val="DefaultParagraphFont"/>
    <w:uiPriority w:val="32"/>
    <w:qFormat/>
    <w:rsid w:val="008F4353"/>
    <w:rPr>
      <w:b/>
      <w:bCs/>
      <w:smallCaps/>
      <w:color w:val="0F4761" w:themeColor="accent1" w:themeShade="BF"/>
      <w:spacing w:val="5"/>
    </w:rPr>
  </w:style>
  <w:style w:type="character" w:styleId="CommentReference">
    <w:name w:val="annotation reference"/>
    <w:rsid w:val="008F4353"/>
    <w:rPr>
      <w:sz w:val="16"/>
      <w:szCs w:val="16"/>
    </w:rPr>
  </w:style>
  <w:style w:type="paragraph" w:styleId="CommentText">
    <w:name w:val="annotation text"/>
    <w:basedOn w:val="Normal"/>
    <w:link w:val="CommentTextChar"/>
    <w:rsid w:val="008F4353"/>
    <w:pPr>
      <w:spacing w:after="0"/>
    </w:pPr>
    <w:rPr>
      <w:rFonts w:ascii="Times New Roman" w:eastAsia="MS Mincho" w:hAnsi="Times New Roman" w:cs="Times New Roman"/>
      <w:kern w:val="0"/>
      <w:sz w:val="20"/>
      <w:szCs w:val="20"/>
      <w:lang w:eastAsia="ja-JP"/>
      <w14:ligatures w14:val="none"/>
    </w:rPr>
  </w:style>
  <w:style w:type="character" w:customStyle="1" w:styleId="CommentTextChar">
    <w:name w:val="Comment Text Char"/>
    <w:basedOn w:val="DefaultParagraphFont"/>
    <w:link w:val="CommentText"/>
    <w:rsid w:val="008F4353"/>
    <w:rPr>
      <w:rFonts w:ascii="Times New Roman" w:eastAsia="MS Mincho" w:hAnsi="Times New Roman" w:cs="Times New Roman"/>
      <w:kern w:val="0"/>
      <w:sz w:val="20"/>
      <w:szCs w:val="20"/>
      <w:lang w:eastAsia="ja-JP"/>
      <w14:ligatures w14:val="none"/>
    </w:rPr>
  </w:style>
  <w:style w:type="paragraph" w:styleId="NormalWeb">
    <w:name w:val="Normal (Web)"/>
    <w:basedOn w:val="Normal"/>
    <w:uiPriority w:val="99"/>
    <w:semiHidden/>
    <w:unhideWhenUsed/>
    <w:rsid w:val="003A078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85D9C"/>
    <w:rPr>
      <w:color w:val="467886" w:themeColor="hyperlink"/>
      <w:u w:val="single"/>
    </w:rPr>
  </w:style>
  <w:style w:type="character" w:styleId="UnresolvedMention">
    <w:name w:val="Unresolved Mention"/>
    <w:basedOn w:val="DefaultParagraphFont"/>
    <w:uiPriority w:val="99"/>
    <w:semiHidden/>
    <w:unhideWhenUsed/>
    <w:rsid w:val="00D8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40614">
      <w:bodyDiv w:val="1"/>
      <w:marLeft w:val="0"/>
      <w:marRight w:val="0"/>
      <w:marTop w:val="0"/>
      <w:marBottom w:val="0"/>
      <w:divBdr>
        <w:top w:val="none" w:sz="0" w:space="0" w:color="auto"/>
        <w:left w:val="none" w:sz="0" w:space="0" w:color="auto"/>
        <w:bottom w:val="none" w:sz="0" w:space="0" w:color="auto"/>
        <w:right w:val="none" w:sz="0" w:space="0" w:color="auto"/>
      </w:divBdr>
    </w:div>
    <w:div w:id="694623897">
      <w:bodyDiv w:val="1"/>
      <w:marLeft w:val="0"/>
      <w:marRight w:val="0"/>
      <w:marTop w:val="0"/>
      <w:marBottom w:val="0"/>
      <w:divBdr>
        <w:top w:val="none" w:sz="0" w:space="0" w:color="auto"/>
        <w:left w:val="none" w:sz="0" w:space="0" w:color="auto"/>
        <w:bottom w:val="none" w:sz="0" w:space="0" w:color="auto"/>
        <w:right w:val="none" w:sz="0" w:space="0" w:color="auto"/>
      </w:divBdr>
    </w:div>
    <w:div w:id="1562788249">
      <w:bodyDiv w:val="1"/>
      <w:marLeft w:val="0"/>
      <w:marRight w:val="0"/>
      <w:marTop w:val="0"/>
      <w:marBottom w:val="0"/>
      <w:divBdr>
        <w:top w:val="none" w:sz="0" w:space="0" w:color="auto"/>
        <w:left w:val="none" w:sz="0" w:space="0" w:color="auto"/>
        <w:bottom w:val="none" w:sz="0" w:space="0" w:color="auto"/>
        <w:right w:val="none" w:sz="0" w:space="0" w:color="auto"/>
      </w:divBdr>
    </w:div>
    <w:div w:id="1645156887">
      <w:bodyDiv w:val="1"/>
      <w:marLeft w:val="0"/>
      <w:marRight w:val="0"/>
      <w:marTop w:val="0"/>
      <w:marBottom w:val="0"/>
      <w:divBdr>
        <w:top w:val="none" w:sz="0" w:space="0" w:color="auto"/>
        <w:left w:val="none" w:sz="0" w:space="0" w:color="auto"/>
        <w:bottom w:val="none" w:sz="0" w:space="0" w:color="auto"/>
        <w:right w:val="none" w:sz="0" w:space="0" w:color="auto"/>
      </w:divBdr>
      <w:divsChild>
        <w:div w:id="329600127">
          <w:marLeft w:val="274"/>
          <w:marRight w:val="0"/>
          <w:marTop w:val="0"/>
          <w:marBottom w:val="0"/>
          <w:divBdr>
            <w:top w:val="none" w:sz="0" w:space="0" w:color="auto"/>
            <w:left w:val="none" w:sz="0" w:space="0" w:color="auto"/>
            <w:bottom w:val="none" w:sz="0" w:space="0" w:color="auto"/>
            <w:right w:val="none" w:sz="0" w:space="0" w:color="auto"/>
          </w:divBdr>
        </w:div>
        <w:div w:id="1780299549">
          <w:marLeft w:val="274"/>
          <w:marRight w:val="0"/>
          <w:marTop w:val="0"/>
          <w:marBottom w:val="0"/>
          <w:divBdr>
            <w:top w:val="none" w:sz="0" w:space="0" w:color="auto"/>
            <w:left w:val="none" w:sz="0" w:space="0" w:color="auto"/>
            <w:bottom w:val="none" w:sz="0" w:space="0" w:color="auto"/>
            <w:right w:val="none" w:sz="0" w:space="0" w:color="auto"/>
          </w:divBdr>
        </w:div>
        <w:div w:id="650527250">
          <w:marLeft w:val="274"/>
          <w:marRight w:val="0"/>
          <w:marTop w:val="0"/>
          <w:marBottom w:val="0"/>
          <w:divBdr>
            <w:top w:val="none" w:sz="0" w:space="0" w:color="auto"/>
            <w:left w:val="none" w:sz="0" w:space="0" w:color="auto"/>
            <w:bottom w:val="none" w:sz="0" w:space="0" w:color="auto"/>
            <w:right w:val="none" w:sz="0" w:space="0" w:color="auto"/>
          </w:divBdr>
        </w:div>
        <w:div w:id="181091537">
          <w:marLeft w:val="274"/>
          <w:marRight w:val="0"/>
          <w:marTop w:val="0"/>
          <w:marBottom w:val="0"/>
          <w:divBdr>
            <w:top w:val="none" w:sz="0" w:space="0" w:color="auto"/>
            <w:left w:val="none" w:sz="0" w:space="0" w:color="auto"/>
            <w:bottom w:val="none" w:sz="0" w:space="0" w:color="auto"/>
            <w:right w:val="none" w:sz="0" w:space="0" w:color="auto"/>
          </w:divBdr>
        </w:div>
        <w:div w:id="7651574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nisi@triplemmetal.com" TargetMode="External"/><Relationship Id="rId4" Type="http://schemas.openxmlformats.org/officeDocument/2006/relationships/numbering" Target="numbering.xml"/><Relationship Id="rId9" Type="http://schemas.openxmlformats.org/officeDocument/2006/relationships/hyperlink" Target="mailto:tsenisi@triplemme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424F7177767428BEBD70D22BA3326" ma:contentTypeVersion="15" ma:contentTypeDescription="Create a new document." ma:contentTypeScope="" ma:versionID="576c8ac20e4d527eb3792756adb26f6e">
  <xsd:schema xmlns:xsd="http://www.w3.org/2001/XMLSchema" xmlns:xs="http://www.w3.org/2001/XMLSchema" xmlns:p="http://schemas.microsoft.com/office/2006/metadata/properties" xmlns:ns2="2e1d50af-98be-419a-bdec-9f8df72fee77" xmlns:ns3="020da92e-b712-49a8-8a7a-3e9a7f658c76" targetNamespace="http://schemas.microsoft.com/office/2006/metadata/properties" ma:root="true" ma:fieldsID="748af1efb65e44a60c9937e2147fd0c4" ns2:_="" ns3:_="">
    <xsd:import namespace="2e1d50af-98be-419a-bdec-9f8df72fee77"/>
    <xsd:import namespace="020da92e-b712-49a8-8a7a-3e9a7f658c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d50af-98be-419a-bdec-9f8df72fe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66003a-d31c-4af9-8765-5ee06db1a7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da92e-b712-49a8-8a7a-3e9a7f658c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a8fbd-f3e2-483d-bfe2-44e0962d1e44}" ma:internalName="TaxCatchAll" ma:showField="CatchAllData" ma:web="020da92e-b712-49a8-8a7a-3e9a7f658c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0da92e-b712-49a8-8a7a-3e9a7f658c76" xsi:nil="true"/>
    <lcf76f155ced4ddcb4097134ff3c332f xmlns="2e1d50af-98be-419a-bdec-9f8df72fee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AB39C-C366-4055-BBE4-BDCDEB8D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d50af-98be-419a-bdec-9f8df72fee77"/>
    <ds:schemaRef ds:uri="020da92e-b712-49a8-8a7a-3e9a7f65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4B06C-2A53-4850-8E58-4E0D981A288D}">
  <ds:schemaRefs>
    <ds:schemaRef ds:uri="http://schemas.microsoft.com/office/2006/metadata/properties"/>
    <ds:schemaRef ds:uri="http://schemas.microsoft.com/office/infopath/2007/PartnerControls"/>
    <ds:schemaRef ds:uri="020da92e-b712-49a8-8a7a-3e9a7f658c76"/>
    <ds:schemaRef ds:uri="2e1d50af-98be-419a-bdec-9f8df72fee77"/>
  </ds:schemaRefs>
</ds:datastoreItem>
</file>

<file path=customXml/itemProps3.xml><?xml version="1.0" encoding="utf-8"?>
<ds:datastoreItem xmlns:ds="http://schemas.openxmlformats.org/officeDocument/2006/customXml" ds:itemID="{FDF72F5C-D95F-4043-A474-9C1A22294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Senisi</dc:creator>
  <cp:keywords/>
  <dc:description/>
  <cp:lastModifiedBy>Teresa Senisi</cp:lastModifiedBy>
  <cp:revision>2</cp:revision>
  <dcterms:created xsi:type="dcterms:W3CDTF">2024-11-11T17:14:00Z</dcterms:created>
  <dcterms:modified xsi:type="dcterms:W3CDTF">2024-11-11T17:14:00Z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0x0101007A2424F7177767428BEBD70D22BA3326</vt:lpwstr>
  </property>
  <property fmtid="{D5CDD505-2E9C-101B-9397-08002B2CF9AE}" pid="3" name="MediaServiceImageTags">
    <vt:lpwstr/>
  </property>
</Properties>
</file>